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B5" w:rsidRDefault="005F3BB5" w:rsidP="00B048DF">
      <w:pPr>
        <w:spacing w:after="120" w:line="240" w:lineRule="auto"/>
        <w:jc w:val="center"/>
        <w:rPr>
          <w:b/>
          <w:sz w:val="24"/>
          <w:lang w:val="en-US"/>
        </w:rPr>
      </w:pPr>
    </w:p>
    <w:p w:rsidR="005F3BB5" w:rsidRDefault="005F3BB5" w:rsidP="00B048DF">
      <w:pPr>
        <w:spacing w:after="120" w:line="240" w:lineRule="auto"/>
        <w:jc w:val="center"/>
        <w:rPr>
          <w:b/>
          <w:sz w:val="24"/>
          <w:lang w:val="en-US"/>
        </w:rPr>
      </w:pPr>
    </w:p>
    <w:p w:rsidR="00E647F6" w:rsidRDefault="00E647F6" w:rsidP="005F3BB5">
      <w:pPr>
        <w:contextualSpacing/>
        <w:jc w:val="center"/>
        <w:rPr>
          <w:rFonts w:ascii="Calibri" w:eastAsia="Times New Roman" w:hAnsi="Calibri" w:cs="Calibri"/>
          <w:lang w:val="en-US"/>
        </w:rPr>
      </w:pPr>
    </w:p>
    <w:p w:rsidR="00E647F6" w:rsidRDefault="00E647F6" w:rsidP="005F3BB5">
      <w:pPr>
        <w:contextualSpacing/>
        <w:jc w:val="center"/>
        <w:rPr>
          <w:rFonts w:ascii="Calibri" w:eastAsia="Times New Roman" w:hAnsi="Calibri" w:cs="Calibri"/>
          <w:lang w:val="en-US"/>
        </w:rPr>
      </w:pPr>
    </w:p>
    <w:p w:rsidR="000D06A1" w:rsidRPr="000D06A1" w:rsidRDefault="000D06A1" w:rsidP="000D06A1">
      <w:pPr>
        <w:contextualSpacing/>
        <w:jc w:val="center"/>
        <w:rPr>
          <w:rFonts w:ascii="Calibri" w:eastAsia="Calibri" w:hAnsi="Calibri" w:cs="Calibri"/>
          <w:lang w:val="en-GB"/>
        </w:rPr>
      </w:pPr>
      <w:r w:rsidRPr="000D06A1">
        <w:rPr>
          <w:rFonts w:ascii="Calibri" w:eastAsia="Calibri" w:hAnsi="Calibri" w:cs="Calibri"/>
          <w:noProof/>
          <w:sz w:val="40"/>
          <w:szCs w:val="40"/>
          <w:lang w:val="en-GB" w:eastAsia="en-GB"/>
        </w:rPr>
        <w:drawing>
          <wp:inline distT="0" distB="0" distL="0" distR="0" wp14:anchorId="003D309A" wp14:editId="467E2630">
            <wp:extent cx="3400425" cy="1381125"/>
            <wp:effectExtent l="0" t="0" r="0" b="0"/>
            <wp:docPr id="10" name="Picture 10" descr="lhuxtCItjmXhlUfM1ekWJwXBuonz9nmMYBbS3LqPFkDk6AJoNG_OeIREV1qkiqdvfjStmjMivRyUmDs3kJj41ymEvf7KSMwWAdmL7bAJ54YAdlVp_S4gm69E_syu1wO7N-DS8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uxtCItjmXhlUfM1ekWJwXBuonz9nmMYBbS3LqPFkDk6AJoNG_OeIREV1qkiqdvfjStmjMivRyUmDs3kJj41ymEvf7KSMwWAdmL7bAJ54YAdlVp_S4gm69E_syu1wO7N-DS8G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381125"/>
                    </a:xfrm>
                    <a:prstGeom prst="rect">
                      <a:avLst/>
                    </a:prstGeom>
                    <a:noFill/>
                    <a:ln>
                      <a:noFill/>
                    </a:ln>
                  </pic:spPr>
                </pic:pic>
              </a:graphicData>
            </a:graphic>
          </wp:inline>
        </w:drawing>
      </w:r>
    </w:p>
    <w:p w:rsidR="000D06A1" w:rsidRPr="000D06A1" w:rsidRDefault="000D06A1" w:rsidP="000D06A1">
      <w:pPr>
        <w:contextualSpacing/>
        <w:jc w:val="center"/>
        <w:rPr>
          <w:rFonts w:ascii="Times New Roman" w:eastAsia="Calibri" w:hAnsi="Times New Roman" w:cs="Times New Roman"/>
          <w:b/>
          <w:color w:val="365F91"/>
          <w:sz w:val="28"/>
          <w:lang w:val="en-GB"/>
        </w:rPr>
      </w:pPr>
      <w:r w:rsidRPr="000D06A1">
        <w:rPr>
          <w:rFonts w:ascii="Times New Roman" w:eastAsia="Calibri" w:hAnsi="Times New Roman" w:cs="Times New Roman"/>
          <w:b/>
          <w:color w:val="365F91"/>
          <w:sz w:val="44"/>
          <w:szCs w:val="40"/>
          <w:lang w:val="en-GB"/>
        </w:rPr>
        <w:t>Regional Conference 2017</w:t>
      </w:r>
    </w:p>
    <w:p w:rsidR="000D06A1" w:rsidRPr="000D06A1" w:rsidRDefault="000D06A1" w:rsidP="000D06A1">
      <w:pPr>
        <w:contextualSpacing/>
        <w:jc w:val="center"/>
        <w:rPr>
          <w:rFonts w:ascii="Times New Roman" w:eastAsia="Times New Roman" w:hAnsi="Times New Roman" w:cs="Times New Roman"/>
          <w:color w:val="000000"/>
          <w:sz w:val="40"/>
          <w:szCs w:val="40"/>
          <w:lang w:val="en-US"/>
        </w:rPr>
      </w:pPr>
    </w:p>
    <w:p w:rsidR="000D06A1" w:rsidRPr="000D06A1" w:rsidRDefault="000D06A1" w:rsidP="000D06A1">
      <w:pPr>
        <w:contextualSpacing/>
        <w:jc w:val="center"/>
        <w:rPr>
          <w:rFonts w:ascii="Times New Roman" w:eastAsia="Times New Roman" w:hAnsi="Times New Roman" w:cs="Times New Roman"/>
          <w:color w:val="365F91"/>
          <w:sz w:val="40"/>
          <w:szCs w:val="40"/>
          <w:lang w:val="en-GB"/>
        </w:rPr>
      </w:pPr>
    </w:p>
    <w:p w:rsidR="000D06A1" w:rsidRPr="000D06A1" w:rsidRDefault="000D06A1" w:rsidP="000D06A1">
      <w:pPr>
        <w:contextualSpacing/>
        <w:jc w:val="center"/>
        <w:rPr>
          <w:rFonts w:ascii="Times New Roman" w:eastAsia="Times New Roman" w:hAnsi="Times New Roman" w:cs="Times New Roman"/>
          <w:color w:val="365F91"/>
          <w:lang w:val="en-US"/>
        </w:rPr>
      </w:pPr>
      <w:r w:rsidRPr="000D06A1">
        <w:rPr>
          <w:rFonts w:ascii="Times New Roman" w:eastAsia="Times New Roman" w:hAnsi="Times New Roman" w:cs="Times New Roman"/>
          <w:color w:val="365F91"/>
          <w:sz w:val="40"/>
          <w:szCs w:val="40"/>
          <w:lang w:val="en-US"/>
        </w:rPr>
        <w:t>Lasting Challenges and</w:t>
      </w:r>
    </w:p>
    <w:p w:rsidR="000D06A1" w:rsidRPr="000D06A1" w:rsidRDefault="000D06A1" w:rsidP="000D06A1">
      <w:pPr>
        <w:contextualSpacing/>
        <w:jc w:val="center"/>
        <w:rPr>
          <w:rFonts w:ascii="Times New Roman" w:eastAsia="Times New Roman" w:hAnsi="Times New Roman" w:cs="Times New Roman"/>
          <w:color w:val="365F91"/>
          <w:lang w:val="en-US"/>
        </w:rPr>
      </w:pPr>
      <w:r w:rsidRPr="000D06A1">
        <w:rPr>
          <w:rFonts w:ascii="Times New Roman" w:eastAsia="Times New Roman" w:hAnsi="Times New Roman" w:cs="Times New Roman"/>
          <w:color w:val="365F91"/>
          <w:sz w:val="40"/>
          <w:szCs w:val="40"/>
          <w:lang w:val="en-US"/>
        </w:rPr>
        <w:t>International Practices in Eastern Europe</w:t>
      </w:r>
    </w:p>
    <w:p w:rsidR="000D06A1" w:rsidRPr="000D06A1" w:rsidRDefault="000D06A1" w:rsidP="000D06A1">
      <w:pPr>
        <w:contextualSpacing/>
        <w:jc w:val="center"/>
        <w:rPr>
          <w:rFonts w:ascii="Times New Roman" w:eastAsia="Times New Roman" w:hAnsi="Times New Roman" w:cs="Times New Roman"/>
          <w:color w:val="000000"/>
          <w:sz w:val="40"/>
          <w:szCs w:val="40"/>
          <w:lang w:val="en-US"/>
        </w:rPr>
      </w:pPr>
    </w:p>
    <w:p w:rsidR="00237968" w:rsidRDefault="00237968" w:rsidP="00237968">
      <w:pPr>
        <w:ind w:left="720"/>
        <w:jc w:val="center"/>
        <w:rPr>
          <w:rFonts w:ascii="Times New Roman" w:eastAsia="Calibri" w:hAnsi="Times New Roman" w:cs="Times New Roman"/>
          <w:b/>
          <w:sz w:val="36"/>
          <w:szCs w:val="36"/>
          <w:lang w:val="en-GB"/>
        </w:rPr>
      </w:pPr>
      <w:r w:rsidRPr="00174674">
        <w:rPr>
          <w:rFonts w:ascii="Times New Roman" w:eastAsia="Calibri" w:hAnsi="Times New Roman" w:cs="Times New Roman"/>
          <w:b/>
          <w:sz w:val="36"/>
          <w:szCs w:val="36"/>
          <w:lang w:val="en-GB"/>
        </w:rPr>
        <w:t>Political Party/Campaign Finances and Use of Administrative Resources in Ukraine</w:t>
      </w:r>
    </w:p>
    <w:p w:rsidR="00237968" w:rsidRDefault="00237968" w:rsidP="00237968">
      <w:pPr>
        <w:ind w:left="720"/>
        <w:jc w:val="center"/>
        <w:rPr>
          <w:rFonts w:ascii="Times New Roman" w:eastAsia="Calibri" w:hAnsi="Times New Roman" w:cs="Times New Roman"/>
          <w:b/>
          <w:sz w:val="36"/>
          <w:szCs w:val="36"/>
          <w:lang w:val="en-GB"/>
        </w:rPr>
      </w:pPr>
    </w:p>
    <w:p w:rsidR="00237968" w:rsidRPr="00237968" w:rsidRDefault="00237968" w:rsidP="00237968">
      <w:pPr>
        <w:ind w:left="720"/>
        <w:jc w:val="center"/>
        <w:rPr>
          <w:rFonts w:ascii="Times New Roman" w:eastAsia="Calibri" w:hAnsi="Times New Roman" w:cs="Times New Roman"/>
          <w:b/>
          <w:sz w:val="28"/>
          <w:szCs w:val="28"/>
          <w:lang w:val="en-GB"/>
        </w:rPr>
      </w:pPr>
      <w:r w:rsidRPr="00237968">
        <w:rPr>
          <w:rFonts w:ascii="Times New Roman" w:eastAsia="Calibri" w:hAnsi="Times New Roman" w:cs="Times New Roman"/>
          <w:b/>
          <w:sz w:val="28"/>
          <w:szCs w:val="28"/>
          <w:lang w:val="en-GB"/>
        </w:rPr>
        <w:t xml:space="preserve">Country Report </w:t>
      </w:r>
    </w:p>
    <w:p w:rsidR="00237968" w:rsidRPr="00174674" w:rsidRDefault="00237968" w:rsidP="00237968">
      <w:pPr>
        <w:jc w:val="right"/>
        <w:rPr>
          <w:rFonts w:ascii="Times New Roman" w:hAnsi="Times New Roman" w:cs="Times New Roman"/>
          <w:b/>
          <w:sz w:val="24"/>
          <w:szCs w:val="24"/>
          <w:lang w:val="en-US"/>
        </w:rPr>
      </w:pPr>
    </w:p>
    <w:p w:rsidR="00237968" w:rsidRPr="00174674" w:rsidRDefault="00237968" w:rsidP="00237968">
      <w:pPr>
        <w:jc w:val="right"/>
        <w:rPr>
          <w:rFonts w:ascii="Times New Roman" w:hAnsi="Times New Roman" w:cs="Times New Roman"/>
          <w:b/>
          <w:sz w:val="24"/>
          <w:szCs w:val="24"/>
          <w:lang w:val="en-US"/>
        </w:rPr>
      </w:pPr>
    </w:p>
    <w:p w:rsidR="00237968" w:rsidRPr="00174674" w:rsidRDefault="00237968" w:rsidP="00237968">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174674">
        <w:rPr>
          <w:rFonts w:ascii="Times New Roman" w:hAnsi="Times New Roman" w:cs="Times New Roman"/>
          <w:b/>
          <w:sz w:val="24"/>
          <w:szCs w:val="24"/>
          <w:lang w:val="en-US"/>
        </w:rPr>
        <w:t xml:space="preserve">Author: </w:t>
      </w:r>
      <w:r w:rsidRPr="00237968">
        <w:rPr>
          <w:rFonts w:ascii="Times New Roman" w:hAnsi="Times New Roman" w:cs="Times New Roman"/>
          <w:sz w:val="24"/>
          <w:szCs w:val="24"/>
          <w:lang w:val="en-US"/>
        </w:rPr>
        <w:t>Oleksii Sydorchuk</w:t>
      </w:r>
      <w:r w:rsidRPr="00174674">
        <w:rPr>
          <w:rFonts w:ascii="Times New Roman" w:hAnsi="Times New Roman" w:cs="Times New Roman"/>
          <w:b/>
          <w:sz w:val="24"/>
          <w:szCs w:val="24"/>
          <w:lang w:val="en-US"/>
        </w:rPr>
        <w:t xml:space="preserve"> </w:t>
      </w:r>
      <w:r w:rsidRPr="00174674">
        <w:rPr>
          <w:rStyle w:val="FootnoteReference"/>
          <w:rFonts w:ascii="Times New Roman" w:hAnsi="Times New Roman" w:cs="Times New Roman"/>
          <w:b/>
          <w:sz w:val="24"/>
          <w:szCs w:val="24"/>
          <w:lang w:val="en-US"/>
        </w:rPr>
        <w:footnoteReference w:id="1"/>
      </w:r>
    </w:p>
    <w:p w:rsidR="00237968" w:rsidRDefault="00237968" w:rsidP="00237968">
      <w:pPr>
        <w:spacing w:after="120" w:line="240" w:lineRule="auto"/>
        <w:jc w:val="center"/>
        <w:rPr>
          <w:rFonts w:ascii="Times New Roman" w:hAnsi="Times New Roman" w:cs="Times New Roman"/>
          <w:b/>
          <w:sz w:val="24"/>
          <w:lang w:val="en-US"/>
        </w:rPr>
      </w:pPr>
    </w:p>
    <w:p w:rsidR="00237968" w:rsidRDefault="00237968" w:rsidP="00237968">
      <w:pPr>
        <w:spacing w:after="120" w:line="240" w:lineRule="auto"/>
        <w:jc w:val="center"/>
        <w:rPr>
          <w:rFonts w:ascii="Times New Roman" w:hAnsi="Times New Roman" w:cs="Times New Roman"/>
          <w:b/>
          <w:sz w:val="24"/>
          <w:lang w:val="en-US"/>
        </w:rPr>
      </w:pPr>
    </w:p>
    <w:p w:rsidR="00237968" w:rsidRDefault="00237968" w:rsidP="00237968">
      <w:pPr>
        <w:spacing w:after="120" w:line="240" w:lineRule="auto"/>
        <w:jc w:val="center"/>
        <w:rPr>
          <w:rFonts w:ascii="Times New Roman" w:hAnsi="Times New Roman" w:cs="Times New Roman"/>
          <w:b/>
          <w:sz w:val="24"/>
          <w:lang w:val="en-US"/>
        </w:rPr>
      </w:pPr>
    </w:p>
    <w:p w:rsidR="00237968" w:rsidRPr="00174674" w:rsidRDefault="00237968" w:rsidP="00237968">
      <w:pPr>
        <w:spacing w:after="120" w:line="240" w:lineRule="auto"/>
        <w:jc w:val="center"/>
        <w:rPr>
          <w:rFonts w:ascii="Times New Roman" w:hAnsi="Times New Roman" w:cs="Times New Roman"/>
          <w:b/>
          <w:sz w:val="24"/>
          <w:lang w:val="en-US"/>
        </w:rPr>
      </w:pPr>
    </w:p>
    <w:p w:rsidR="00237968" w:rsidRPr="00174674" w:rsidRDefault="00237968" w:rsidP="00237968">
      <w:pPr>
        <w:jc w:val="center"/>
        <w:rPr>
          <w:rFonts w:ascii="Times New Roman" w:hAnsi="Times New Roman" w:cs="Times New Roman"/>
          <w:sz w:val="24"/>
          <w:szCs w:val="24"/>
          <w:lang w:val="en-US"/>
        </w:rPr>
      </w:pPr>
      <w:r w:rsidRPr="00174674">
        <w:rPr>
          <w:rFonts w:ascii="Times New Roman" w:hAnsi="Times New Roman" w:cs="Times New Roman"/>
          <w:sz w:val="24"/>
          <w:szCs w:val="24"/>
          <w:lang w:val="en-US"/>
        </w:rPr>
        <w:t>K</w:t>
      </w:r>
      <w:r>
        <w:rPr>
          <w:rFonts w:ascii="Times New Roman" w:hAnsi="Times New Roman" w:cs="Times New Roman"/>
          <w:sz w:val="24"/>
          <w:szCs w:val="24"/>
          <w:lang w:val="en-US"/>
        </w:rPr>
        <w:t>yiv</w:t>
      </w:r>
      <w:r w:rsidRPr="00174674">
        <w:rPr>
          <w:rFonts w:ascii="Times New Roman" w:hAnsi="Times New Roman" w:cs="Times New Roman"/>
          <w:sz w:val="24"/>
          <w:szCs w:val="24"/>
          <w:lang w:val="en-US"/>
        </w:rPr>
        <w:t xml:space="preserve"> 2017</w:t>
      </w:r>
    </w:p>
    <w:p w:rsidR="00237968" w:rsidRPr="00174674" w:rsidRDefault="00237968" w:rsidP="00237968">
      <w:pPr>
        <w:spacing w:after="120" w:line="240" w:lineRule="auto"/>
        <w:jc w:val="center"/>
        <w:rPr>
          <w:rFonts w:ascii="Times New Roman" w:hAnsi="Times New Roman" w:cs="Times New Roman"/>
          <w:b/>
          <w:sz w:val="24"/>
          <w:lang w:val="en-US"/>
        </w:rPr>
      </w:pPr>
    </w:p>
    <w:p w:rsidR="00237968" w:rsidRPr="00174674" w:rsidRDefault="00237968" w:rsidP="00237968">
      <w:pPr>
        <w:spacing w:after="120" w:line="240" w:lineRule="auto"/>
        <w:jc w:val="center"/>
        <w:rPr>
          <w:rFonts w:ascii="Times New Roman" w:hAnsi="Times New Roman" w:cs="Times New Roman"/>
          <w:b/>
          <w:sz w:val="24"/>
          <w:lang w:val="en-US"/>
        </w:rPr>
      </w:pPr>
    </w:p>
    <w:p w:rsidR="00237968" w:rsidRPr="00174674" w:rsidRDefault="00237968" w:rsidP="00237968">
      <w:pPr>
        <w:spacing w:after="120" w:line="240" w:lineRule="auto"/>
        <w:jc w:val="center"/>
        <w:rPr>
          <w:rFonts w:ascii="Times New Roman" w:hAnsi="Times New Roman" w:cs="Times New Roman"/>
          <w:b/>
          <w:sz w:val="24"/>
          <w:lang w:val="en-US"/>
        </w:rPr>
      </w:pPr>
    </w:p>
    <w:p w:rsidR="00237968" w:rsidRPr="00174674" w:rsidRDefault="00237968" w:rsidP="00237968">
      <w:pPr>
        <w:spacing w:after="120" w:line="240" w:lineRule="auto"/>
        <w:jc w:val="center"/>
        <w:rPr>
          <w:rFonts w:ascii="Times New Roman" w:hAnsi="Times New Roman" w:cs="Times New Roman"/>
          <w:b/>
          <w:sz w:val="24"/>
          <w:lang w:val="en-US"/>
        </w:rPr>
      </w:pPr>
    </w:p>
    <w:p w:rsidR="00237968" w:rsidRPr="00174674" w:rsidRDefault="00237968" w:rsidP="00237968">
      <w:pPr>
        <w:spacing w:after="120" w:line="240" w:lineRule="auto"/>
        <w:jc w:val="center"/>
        <w:rPr>
          <w:rFonts w:ascii="Times New Roman" w:hAnsi="Times New Roman" w:cs="Times New Roman"/>
          <w:b/>
          <w:sz w:val="24"/>
          <w:lang w:val="en-US"/>
        </w:rPr>
      </w:pPr>
    </w:p>
    <w:p w:rsidR="00237968" w:rsidRPr="00174674" w:rsidRDefault="00237968" w:rsidP="00237968">
      <w:pPr>
        <w:spacing w:after="120" w:line="240" w:lineRule="auto"/>
        <w:jc w:val="center"/>
        <w:rPr>
          <w:rFonts w:ascii="Times New Roman" w:hAnsi="Times New Roman" w:cs="Times New Roman"/>
          <w:b/>
          <w:sz w:val="24"/>
          <w:lang w:val="en-US"/>
        </w:rPr>
      </w:pPr>
    </w:p>
    <w:p w:rsidR="00237968" w:rsidRPr="00174674" w:rsidRDefault="00237968" w:rsidP="00237968">
      <w:pPr>
        <w:spacing w:after="120" w:line="240" w:lineRule="auto"/>
        <w:jc w:val="center"/>
        <w:rPr>
          <w:rFonts w:ascii="Times New Roman" w:hAnsi="Times New Roman" w:cs="Times New Roman"/>
          <w:b/>
          <w:sz w:val="24"/>
          <w:lang w:val="en-US"/>
        </w:rPr>
      </w:pPr>
    </w:p>
    <w:p w:rsidR="00237968" w:rsidRPr="00174674" w:rsidRDefault="00237968" w:rsidP="00237968">
      <w:pPr>
        <w:spacing w:after="120" w:line="240" w:lineRule="auto"/>
        <w:jc w:val="center"/>
        <w:rPr>
          <w:rFonts w:ascii="Times New Roman" w:hAnsi="Times New Roman" w:cs="Times New Roman"/>
          <w:b/>
          <w:sz w:val="24"/>
          <w:lang w:val="en-US"/>
        </w:rPr>
      </w:pPr>
    </w:p>
    <w:p w:rsidR="00403064" w:rsidRPr="00174674" w:rsidRDefault="00E647F6" w:rsidP="00174674">
      <w:pPr>
        <w:spacing w:after="12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403064" w:rsidRPr="00174674" w:rsidRDefault="00403064" w:rsidP="00403064">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The law on prevention of political corruption adopted in October 2015 </w:t>
      </w:r>
      <w:r w:rsidR="00CF429F" w:rsidRPr="00174674">
        <w:rPr>
          <w:rFonts w:ascii="Times New Roman" w:hAnsi="Times New Roman" w:cs="Times New Roman"/>
          <w:sz w:val="24"/>
          <w:szCs w:val="24"/>
          <w:lang w:val="en-US"/>
        </w:rPr>
        <w:t xml:space="preserve">significantly changed </w:t>
      </w:r>
      <w:r w:rsidRPr="00174674">
        <w:rPr>
          <w:rFonts w:ascii="Times New Roman" w:hAnsi="Times New Roman" w:cs="Times New Roman"/>
          <w:sz w:val="24"/>
          <w:szCs w:val="24"/>
          <w:lang w:val="en-US"/>
        </w:rPr>
        <w:t>regulation of political finance in Ukraine</w:t>
      </w:r>
      <w:r w:rsidR="00CF429F" w:rsidRPr="00174674">
        <w:rPr>
          <w:rFonts w:ascii="Times New Roman" w:hAnsi="Times New Roman" w:cs="Times New Roman"/>
          <w:sz w:val="24"/>
          <w:szCs w:val="24"/>
          <w:lang w:val="en-US"/>
        </w:rPr>
        <w:t xml:space="preserve">. The new legislation brought Ukraine closer to </w:t>
      </w:r>
      <w:r w:rsidR="00FB549E" w:rsidRPr="00174674">
        <w:rPr>
          <w:rFonts w:ascii="Times New Roman" w:hAnsi="Times New Roman" w:cs="Times New Roman"/>
          <w:sz w:val="24"/>
          <w:szCs w:val="24"/>
          <w:lang w:val="en-US"/>
        </w:rPr>
        <w:t xml:space="preserve">the </w:t>
      </w:r>
      <w:r w:rsidR="00CF429F" w:rsidRPr="00174674">
        <w:rPr>
          <w:rFonts w:ascii="Times New Roman" w:hAnsi="Times New Roman" w:cs="Times New Roman"/>
          <w:sz w:val="24"/>
          <w:szCs w:val="24"/>
          <w:lang w:val="en-US"/>
        </w:rPr>
        <w:t>international standards by limiting donation size, introducing comprehensive reporting requirement, establishing state oversight of party and candidate finance, and tightening sanctions for violating rules</w:t>
      </w:r>
      <w:r w:rsidR="00FB549E" w:rsidRPr="00174674">
        <w:rPr>
          <w:rFonts w:ascii="Times New Roman" w:hAnsi="Times New Roman" w:cs="Times New Roman"/>
          <w:sz w:val="24"/>
          <w:szCs w:val="24"/>
          <w:lang w:val="en-US"/>
        </w:rPr>
        <w:t xml:space="preserve"> on</w:t>
      </w:r>
      <w:r w:rsidR="003379CE" w:rsidRPr="00174674">
        <w:rPr>
          <w:rFonts w:ascii="Times New Roman" w:hAnsi="Times New Roman" w:cs="Times New Roman"/>
          <w:sz w:val="24"/>
          <w:szCs w:val="24"/>
          <w:lang w:val="en-US"/>
        </w:rPr>
        <w:t xml:space="preserve"> party financing</w:t>
      </w:r>
      <w:r w:rsidR="00CF429F" w:rsidRPr="00174674">
        <w:rPr>
          <w:rFonts w:ascii="Times New Roman" w:hAnsi="Times New Roman" w:cs="Times New Roman"/>
          <w:sz w:val="24"/>
          <w:szCs w:val="24"/>
          <w:lang w:val="en-US"/>
        </w:rPr>
        <w:t xml:space="preserve">. </w:t>
      </w:r>
      <w:r w:rsidR="00745924" w:rsidRPr="00174674">
        <w:rPr>
          <w:rFonts w:ascii="Times New Roman" w:hAnsi="Times New Roman" w:cs="Times New Roman"/>
          <w:sz w:val="24"/>
          <w:szCs w:val="24"/>
          <w:lang w:val="en-US"/>
        </w:rPr>
        <w:t>That said, s</w:t>
      </w:r>
      <w:r w:rsidR="00CF429F" w:rsidRPr="00174674">
        <w:rPr>
          <w:rFonts w:ascii="Times New Roman" w:hAnsi="Times New Roman" w:cs="Times New Roman"/>
          <w:sz w:val="24"/>
          <w:szCs w:val="24"/>
          <w:lang w:val="en-US"/>
        </w:rPr>
        <w:t xml:space="preserve">everal recommendations presented by GRECO and OSCE/ODIHR, including </w:t>
      </w:r>
      <w:r w:rsidR="00745924" w:rsidRPr="00174674">
        <w:rPr>
          <w:rFonts w:ascii="Times New Roman" w:hAnsi="Times New Roman" w:cs="Times New Roman"/>
          <w:sz w:val="24"/>
          <w:szCs w:val="24"/>
          <w:lang w:val="en-US"/>
        </w:rPr>
        <w:t xml:space="preserve">proper </w:t>
      </w:r>
      <w:r w:rsidR="00CF429F" w:rsidRPr="00174674">
        <w:rPr>
          <w:rFonts w:ascii="Times New Roman" w:hAnsi="Times New Roman" w:cs="Times New Roman"/>
          <w:sz w:val="24"/>
          <w:szCs w:val="24"/>
          <w:lang w:val="en-US"/>
        </w:rPr>
        <w:t>regulation of third party spending, harmoniz</w:t>
      </w:r>
      <w:r w:rsidR="00745924" w:rsidRPr="00174674">
        <w:rPr>
          <w:rFonts w:ascii="Times New Roman" w:hAnsi="Times New Roman" w:cs="Times New Roman"/>
          <w:sz w:val="24"/>
          <w:szCs w:val="24"/>
          <w:lang w:val="en-US"/>
        </w:rPr>
        <w:t>ing</w:t>
      </w:r>
      <w:r w:rsidR="00CF429F" w:rsidRPr="00174674">
        <w:rPr>
          <w:rFonts w:ascii="Times New Roman" w:hAnsi="Times New Roman" w:cs="Times New Roman"/>
          <w:sz w:val="24"/>
          <w:szCs w:val="24"/>
          <w:lang w:val="en-US"/>
        </w:rPr>
        <w:t xml:space="preserve"> rules of campaign finance for all election types, and </w:t>
      </w:r>
      <w:r w:rsidR="00745924" w:rsidRPr="00174674">
        <w:rPr>
          <w:rFonts w:ascii="Times New Roman" w:hAnsi="Times New Roman" w:cs="Times New Roman"/>
          <w:sz w:val="24"/>
          <w:szCs w:val="24"/>
          <w:lang w:val="en-US"/>
        </w:rPr>
        <w:t xml:space="preserve">ensuring proportionate and coherent sanction </w:t>
      </w:r>
      <w:r w:rsidR="00D22678" w:rsidRPr="00174674">
        <w:rPr>
          <w:rFonts w:ascii="Times New Roman" w:hAnsi="Times New Roman" w:cs="Times New Roman"/>
          <w:sz w:val="24"/>
          <w:szCs w:val="24"/>
          <w:lang w:val="en-US"/>
        </w:rPr>
        <w:t>regime, remained unaddressed.</w:t>
      </w:r>
    </w:p>
    <w:p w:rsidR="00745924" w:rsidRPr="00174674" w:rsidRDefault="00745924" w:rsidP="00745924">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Functioning of the new regulation model has increased transparency of major parties to some extent and allowed the state to scrutinize party reports and </w:t>
      </w:r>
      <w:r w:rsidR="000C7397" w:rsidRPr="00174674">
        <w:rPr>
          <w:rFonts w:ascii="Times New Roman" w:hAnsi="Times New Roman" w:cs="Times New Roman"/>
          <w:sz w:val="24"/>
          <w:szCs w:val="24"/>
          <w:lang w:val="en-US"/>
        </w:rPr>
        <w:t>impose sanctions against several parties</w:t>
      </w:r>
      <w:r w:rsidRPr="00174674">
        <w:rPr>
          <w:rFonts w:ascii="Times New Roman" w:hAnsi="Times New Roman" w:cs="Times New Roman"/>
          <w:sz w:val="24"/>
          <w:szCs w:val="24"/>
          <w:lang w:val="en-US"/>
        </w:rPr>
        <w:t>. At the same time, party reports have remained incomplete and sometimes pointed to significant financial irregularities</w:t>
      </w:r>
      <w:r w:rsidR="00155F71" w:rsidRPr="00174674">
        <w:rPr>
          <w:rFonts w:ascii="Times New Roman" w:hAnsi="Times New Roman" w:cs="Times New Roman"/>
          <w:sz w:val="24"/>
          <w:szCs w:val="24"/>
          <w:lang w:val="en-US"/>
        </w:rPr>
        <w:t>.</w:t>
      </w:r>
      <w:r w:rsidRPr="00174674">
        <w:rPr>
          <w:rFonts w:ascii="Times New Roman" w:hAnsi="Times New Roman" w:cs="Times New Roman"/>
          <w:sz w:val="24"/>
          <w:szCs w:val="24"/>
          <w:lang w:val="en-US"/>
        </w:rPr>
        <w:t xml:space="preserve"> </w:t>
      </w:r>
      <w:r w:rsidR="00155F71" w:rsidRPr="00174674">
        <w:rPr>
          <w:rFonts w:ascii="Times New Roman" w:hAnsi="Times New Roman" w:cs="Times New Roman"/>
          <w:sz w:val="24"/>
          <w:szCs w:val="24"/>
          <w:lang w:val="en-US"/>
        </w:rPr>
        <w:t>A</w:t>
      </w:r>
      <w:r w:rsidRPr="00174674">
        <w:rPr>
          <w:rFonts w:ascii="Times New Roman" w:hAnsi="Times New Roman" w:cs="Times New Roman"/>
          <w:sz w:val="24"/>
          <w:szCs w:val="24"/>
          <w:lang w:val="en-US"/>
        </w:rPr>
        <w:t>bility of the National Agency on Prevention of Corruption</w:t>
      </w:r>
      <w:r w:rsidR="00C76245" w:rsidRPr="00174674">
        <w:rPr>
          <w:rFonts w:ascii="Times New Roman" w:hAnsi="Times New Roman" w:cs="Times New Roman"/>
          <w:sz w:val="24"/>
          <w:szCs w:val="24"/>
          <w:lang w:val="en-US"/>
        </w:rPr>
        <w:t xml:space="preserve"> (NAPC)</w:t>
      </w:r>
      <w:r w:rsidRPr="00174674">
        <w:rPr>
          <w:rFonts w:ascii="Times New Roman" w:hAnsi="Times New Roman" w:cs="Times New Roman"/>
          <w:sz w:val="24"/>
          <w:szCs w:val="24"/>
          <w:lang w:val="en-US"/>
        </w:rPr>
        <w:t xml:space="preserve"> to effectively monitor </w:t>
      </w:r>
      <w:r w:rsidR="000C7397" w:rsidRPr="00174674">
        <w:rPr>
          <w:rFonts w:ascii="Times New Roman" w:hAnsi="Times New Roman" w:cs="Times New Roman"/>
          <w:sz w:val="24"/>
          <w:szCs w:val="24"/>
          <w:lang w:val="en-US"/>
        </w:rPr>
        <w:t xml:space="preserve">reports of political </w:t>
      </w:r>
      <w:r w:rsidR="008E0360" w:rsidRPr="00174674">
        <w:rPr>
          <w:rFonts w:ascii="Times New Roman" w:hAnsi="Times New Roman" w:cs="Times New Roman"/>
          <w:sz w:val="24"/>
          <w:szCs w:val="24"/>
          <w:lang w:val="en-US"/>
        </w:rPr>
        <w:t>parties</w:t>
      </w:r>
      <w:r w:rsidRPr="00174674">
        <w:rPr>
          <w:rFonts w:ascii="Times New Roman" w:hAnsi="Times New Roman" w:cs="Times New Roman"/>
          <w:sz w:val="24"/>
          <w:szCs w:val="24"/>
          <w:lang w:val="en-US"/>
        </w:rPr>
        <w:t xml:space="preserve"> and hold th</w:t>
      </w:r>
      <w:r w:rsidR="00155F71" w:rsidRPr="00174674">
        <w:rPr>
          <w:rFonts w:ascii="Times New Roman" w:hAnsi="Times New Roman" w:cs="Times New Roman"/>
          <w:sz w:val="24"/>
          <w:szCs w:val="24"/>
          <w:lang w:val="en-US"/>
        </w:rPr>
        <w:t>em accountable has been limited due to several legal gaps and shortage of resources, while its impartiality has already been questioned.</w:t>
      </w:r>
      <w:r w:rsidR="00EC1D24" w:rsidRPr="00174674">
        <w:rPr>
          <w:rFonts w:ascii="Times New Roman" w:hAnsi="Times New Roman" w:cs="Times New Roman"/>
          <w:sz w:val="24"/>
          <w:szCs w:val="24"/>
          <w:lang w:val="en-US"/>
        </w:rPr>
        <w:t xml:space="preserve"> Public awareness and support of the political finance reform has remained low. </w:t>
      </w:r>
    </w:p>
    <w:p w:rsidR="00403064" w:rsidRPr="00174674" w:rsidRDefault="00403064" w:rsidP="00B048DF">
      <w:pPr>
        <w:spacing w:after="120" w:line="240" w:lineRule="auto"/>
        <w:jc w:val="center"/>
        <w:rPr>
          <w:rFonts w:ascii="Times New Roman" w:hAnsi="Times New Roman" w:cs="Times New Roman"/>
          <w:b/>
          <w:sz w:val="24"/>
          <w:szCs w:val="24"/>
          <w:lang w:val="en-US"/>
        </w:rPr>
      </w:pPr>
    </w:p>
    <w:p w:rsidR="004F1C63" w:rsidRPr="00174674" w:rsidRDefault="004F1C63" w:rsidP="00B048DF">
      <w:pPr>
        <w:spacing w:after="120" w:line="240" w:lineRule="auto"/>
        <w:jc w:val="center"/>
        <w:rPr>
          <w:rFonts w:ascii="Times New Roman" w:hAnsi="Times New Roman" w:cs="Times New Roman"/>
          <w:b/>
          <w:sz w:val="24"/>
          <w:szCs w:val="24"/>
          <w:lang w:val="en-US"/>
        </w:rPr>
      </w:pPr>
    </w:p>
    <w:p w:rsidR="004F1C63" w:rsidRPr="00174674" w:rsidRDefault="004F1C63" w:rsidP="00B048DF">
      <w:pPr>
        <w:spacing w:after="120" w:line="240" w:lineRule="auto"/>
        <w:jc w:val="center"/>
        <w:rPr>
          <w:rFonts w:ascii="Times New Roman" w:hAnsi="Times New Roman" w:cs="Times New Roman"/>
          <w:b/>
          <w:sz w:val="24"/>
          <w:szCs w:val="24"/>
          <w:lang w:val="en-US"/>
        </w:rPr>
      </w:pPr>
    </w:p>
    <w:p w:rsidR="004F1C63" w:rsidRPr="00174674" w:rsidRDefault="004F1C63" w:rsidP="00B048DF">
      <w:pPr>
        <w:spacing w:after="120" w:line="240" w:lineRule="auto"/>
        <w:jc w:val="center"/>
        <w:rPr>
          <w:rFonts w:ascii="Times New Roman" w:hAnsi="Times New Roman" w:cs="Times New Roman"/>
          <w:b/>
          <w:sz w:val="24"/>
          <w:szCs w:val="24"/>
          <w:lang w:val="en-US"/>
        </w:rPr>
      </w:pPr>
    </w:p>
    <w:p w:rsidR="004F1C63" w:rsidRDefault="004F1C63"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Default="00174674" w:rsidP="00B048DF">
      <w:pPr>
        <w:spacing w:after="120" w:line="240" w:lineRule="auto"/>
        <w:jc w:val="center"/>
        <w:rPr>
          <w:rFonts w:ascii="Sylfaen" w:hAnsi="Sylfaen" w:cs="Times New Roman"/>
          <w:b/>
          <w:sz w:val="24"/>
          <w:szCs w:val="24"/>
          <w:lang w:val="ka-GE"/>
        </w:rPr>
      </w:pPr>
    </w:p>
    <w:p w:rsidR="00174674" w:rsidRPr="00174674" w:rsidRDefault="00174674" w:rsidP="00B048DF">
      <w:pPr>
        <w:spacing w:after="120" w:line="240" w:lineRule="auto"/>
        <w:jc w:val="center"/>
        <w:rPr>
          <w:rFonts w:ascii="Sylfaen" w:hAnsi="Sylfaen" w:cs="Times New Roman"/>
          <w:b/>
          <w:sz w:val="24"/>
          <w:szCs w:val="24"/>
          <w:lang w:val="ka-GE"/>
        </w:rPr>
      </w:pPr>
    </w:p>
    <w:p w:rsidR="008C533A" w:rsidRPr="00174674" w:rsidRDefault="00E647F6" w:rsidP="00174674">
      <w:pPr>
        <w:spacing w:after="12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BACKGROUND INFORMATION</w:t>
      </w:r>
    </w:p>
    <w:p w:rsidR="00B048DF" w:rsidRPr="00174674" w:rsidRDefault="000D2256" w:rsidP="00B048DF">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Ukraine has long been characterized by weak parties and </w:t>
      </w:r>
      <w:r w:rsidR="005508EC" w:rsidRPr="00174674">
        <w:rPr>
          <w:rFonts w:ascii="Times New Roman" w:hAnsi="Times New Roman" w:cs="Times New Roman"/>
          <w:sz w:val="24"/>
          <w:szCs w:val="24"/>
          <w:lang w:val="en-US"/>
        </w:rPr>
        <w:t>volatile</w:t>
      </w:r>
      <w:r w:rsidRPr="00174674">
        <w:rPr>
          <w:rFonts w:ascii="Times New Roman" w:hAnsi="Times New Roman" w:cs="Times New Roman"/>
          <w:sz w:val="24"/>
          <w:szCs w:val="24"/>
          <w:lang w:val="en-US"/>
        </w:rPr>
        <w:t xml:space="preserve"> party system. 2013–2014 Euromaidan revolution led to</w:t>
      </w:r>
      <w:r w:rsidR="005508EC" w:rsidRPr="00174674">
        <w:rPr>
          <w:rFonts w:ascii="Times New Roman" w:hAnsi="Times New Roman" w:cs="Times New Roman"/>
          <w:sz w:val="24"/>
          <w:szCs w:val="24"/>
          <w:lang w:val="en-US"/>
        </w:rPr>
        <w:t xml:space="preserve"> collapse of virtually all parliamentary parties, including once-dominant Party of Regions. </w:t>
      </w:r>
      <w:r w:rsidR="00186218" w:rsidRPr="00174674">
        <w:rPr>
          <w:rFonts w:ascii="Times New Roman" w:hAnsi="Times New Roman" w:cs="Times New Roman"/>
          <w:sz w:val="24"/>
          <w:szCs w:val="24"/>
          <w:lang w:val="en-US"/>
        </w:rPr>
        <w:t>Notably</w:t>
      </w:r>
      <w:r w:rsidR="005508EC" w:rsidRPr="00174674">
        <w:rPr>
          <w:rFonts w:ascii="Times New Roman" w:hAnsi="Times New Roman" w:cs="Times New Roman"/>
          <w:sz w:val="24"/>
          <w:szCs w:val="24"/>
          <w:lang w:val="en-US"/>
        </w:rPr>
        <w:t xml:space="preserve">, among six parties that successfully passed the electoral threshold on 2014 pre-term parliamentary elections, only one had </w:t>
      </w:r>
      <w:r w:rsidR="00667190" w:rsidRPr="00174674">
        <w:rPr>
          <w:rFonts w:ascii="Times New Roman" w:hAnsi="Times New Roman" w:cs="Times New Roman"/>
          <w:sz w:val="24"/>
          <w:szCs w:val="24"/>
          <w:lang w:val="en-US"/>
        </w:rPr>
        <w:t>representation</w:t>
      </w:r>
      <w:r w:rsidR="005508EC" w:rsidRPr="00174674">
        <w:rPr>
          <w:rFonts w:ascii="Times New Roman" w:hAnsi="Times New Roman" w:cs="Times New Roman"/>
          <w:sz w:val="24"/>
          <w:szCs w:val="24"/>
          <w:lang w:val="en-US"/>
        </w:rPr>
        <w:t xml:space="preserve"> in previous parliaments. </w:t>
      </w:r>
      <w:r w:rsidR="00667190" w:rsidRPr="00174674">
        <w:rPr>
          <w:rFonts w:ascii="Times New Roman" w:hAnsi="Times New Roman" w:cs="Times New Roman"/>
          <w:sz w:val="24"/>
          <w:szCs w:val="24"/>
          <w:lang w:val="en-US"/>
        </w:rPr>
        <w:t>Meanwhile, most of the new parties were created by representatives of old political elites and showcased old features, such as high dependence on popularity of their leaders, lack of clear ideology</w:t>
      </w:r>
      <w:r w:rsidR="00736A7F" w:rsidRPr="00174674">
        <w:rPr>
          <w:rFonts w:ascii="Times New Roman" w:hAnsi="Times New Roman" w:cs="Times New Roman"/>
          <w:sz w:val="24"/>
          <w:szCs w:val="24"/>
          <w:lang w:val="en-US"/>
        </w:rPr>
        <w:t>,</w:t>
      </w:r>
      <w:r w:rsidR="00667190" w:rsidRPr="00174674">
        <w:rPr>
          <w:rFonts w:ascii="Times New Roman" w:hAnsi="Times New Roman" w:cs="Times New Roman"/>
          <w:sz w:val="24"/>
          <w:szCs w:val="24"/>
          <w:lang w:val="en-US"/>
        </w:rPr>
        <w:t xml:space="preserve"> and shallow organizational structure.</w:t>
      </w:r>
    </w:p>
    <w:p w:rsidR="00BF08F8" w:rsidRPr="00174674" w:rsidRDefault="00BF08F8" w:rsidP="00B048DF">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Opaque funding and lack of public accountability have been noted by many observers as inherent feature of Ukrainian parties</w:t>
      </w:r>
      <w:r w:rsidR="00186218" w:rsidRPr="00174674">
        <w:rPr>
          <w:rFonts w:ascii="Times New Roman" w:hAnsi="Times New Roman" w:cs="Times New Roman"/>
          <w:sz w:val="24"/>
          <w:szCs w:val="24"/>
          <w:lang w:val="en-US"/>
        </w:rPr>
        <w:t xml:space="preserve"> (</w:t>
      </w:r>
      <w:proofErr w:type="spellStart"/>
      <w:r w:rsidR="00186218" w:rsidRPr="00174674">
        <w:rPr>
          <w:rFonts w:ascii="Times New Roman" w:hAnsi="Times New Roman" w:cs="Times New Roman"/>
          <w:sz w:val="24"/>
          <w:szCs w:val="24"/>
          <w:lang w:val="en-US"/>
        </w:rPr>
        <w:t>Kuzio</w:t>
      </w:r>
      <w:proofErr w:type="spellEnd"/>
      <w:r w:rsidR="00186218" w:rsidRPr="00174674">
        <w:rPr>
          <w:rFonts w:ascii="Times New Roman" w:hAnsi="Times New Roman" w:cs="Times New Roman"/>
          <w:sz w:val="24"/>
          <w:szCs w:val="24"/>
          <w:lang w:val="en-US"/>
        </w:rPr>
        <w:t>, 2014)</w:t>
      </w:r>
      <w:r w:rsidRPr="00174674">
        <w:rPr>
          <w:rFonts w:ascii="Times New Roman" w:hAnsi="Times New Roman" w:cs="Times New Roman"/>
          <w:sz w:val="24"/>
          <w:szCs w:val="24"/>
          <w:lang w:val="en-US"/>
        </w:rPr>
        <w:t xml:space="preserve">. Until recently, the state showed little interest in regulating finance of parties or candidates. </w:t>
      </w:r>
      <w:r w:rsidR="00186218" w:rsidRPr="00174674">
        <w:rPr>
          <w:rFonts w:ascii="Times New Roman" w:hAnsi="Times New Roman" w:cs="Times New Roman"/>
          <w:sz w:val="24"/>
          <w:szCs w:val="24"/>
          <w:lang w:val="en-US"/>
        </w:rPr>
        <w:t xml:space="preserve">Parties could raise fund in unlimited amounts and spend it as they saw fit. The law formally obliged parties to publish their financial reports annually, but </w:t>
      </w:r>
      <w:r w:rsidR="008E0360" w:rsidRPr="00174674">
        <w:rPr>
          <w:rFonts w:ascii="Times New Roman" w:hAnsi="Times New Roman" w:cs="Times New Roman"/>
          <w:sz w:val="24"/>
          <w:szCs w:val="24"/>
          <w:lang w:val="en-US"/>
        </w:rPr>
        <w:t>provided</w:t>
      </w:r>
      <w:r w:rsidR="001F4C8F" w:rsidRPr="00174674">
        <w:rPr>
          <w:rFonts w:ascii="Times New Roman" w:hAnsi="Times New Roman" w:cs="Times New Roman"/>
          <w:sz w:val="24"/>
          <w:szCs w:val="24"/>
          <w:lang w:val="en-US"/>
        </w:rPr>
        <w:t xml:space="preserve"> no standardized format</w:t>
      </w:r>
      <w:r w:rsidR="00186218" w:rsidRPr="00174674">
        <w:rPr>
          <w:rFonts w:ascii="Times New Roman" w:hAnsi="Times New Roman" w:cs="Times New Roman"/>
          <w:sz w:val="24"/>
          <w:szCs w:val="24"/>
          <w:lang w:val="en-US"/>
        </w:rPr>
        <w:t xml:space="preserve">. </w:t>
      </w:r>
      <w:r w:rsidR="00223895" w:rsidRPr="00174674">
        <w:rPr>
          <w:rFonts w:ascii="Times New Roman" w:hAnsi="Times New Roman" w:cs="Times New Roman"/>
          <w:sz w:val="24"/>
          <w:szCs w:val="24"/>
          <w:lang w:val="en-US"/>
        </w:rPr>
        <w:t>No state body was responsible for monitoring party reports, and no sanction</w:t>
      </w:r>
      <w:r w:rsidR="00044142" w:rsidRPr="00174674">
        <w:rPr>
          <w:rFonts w:ascii="Times New Roman" w:hAnsi="Times New Roman" w:cs="Times New Roman"/>
          <w:sz w:val="24"/>
          <w:szCs w:val="24"/>
          <w:lang w:val="en-US"/>
        </w:rPr>
        <w:t>s</w:t>
      </w:r>
      <w:r w:rsidR="00223895" w:rsidRPr="00174674">
        <w:rPr>
          <w:rFonts w:ascii="Times New Roman" w:hAnsi="Times New Roman" w:cs="Times New Roman"/>
          <w:sz w:val="24"/>
          <w:szCs w:val="24"/>
          <w:lang w:val="en-US"/>
        </w:rPr>
        <w:t xml:space="preserve"> for inability to present such reports were in place. </w:t>
      </w:r>
      <w:r w:rsidR="00186218" w:rsidRPr="00174674">
        <w:rPr>
          <w:rFonts w:ascii="Times New Roman" w:hAnsi="Times New Roman" w:cs="Times New Roman"/>
          <w:sz w:val="24"/>
          <w:szCs w:val="24"/>
          <w:lang w:val="en-US"/>
        </w:rPr>
        <w:t xml:space="preserve">Campaign funding was regulated more comprehensively, but </w:t>
      </w:r>
      <w:r w:rsidR="004C11B2" w:rsidRPr="00174674">
        <w:rPr>
          <w:rFonts w:ascii="Times New Roman" w:hAnsi="Times New Roman" w:cs="Times New Roman"/>
          <w:sz w:val="24"/>
          <w:szCs w:val="24"/>
          <w:lang w:val="en-US"/>
        </w:rPr>
        <w:t>incoherent and, sometimes, conflicting nature</w:t>
      </w:r>
      <w:r w:rsidR="00186218" w:rsidRPr="00174674">
        <w:rPr>
          <w:rFonts w:ascii="Times New Roman" w:hAnsi="Times New Roman" w:cs="Times New Roman"/>
          <w:sz w:val="24"/>
          <w:szCs w:val="24"/>
          <w:lang w:val="en-US"/>
        </w:rPr>
        <w:t xml:space="preserve"> and frequent changes of relevant provisions prevented their effective enforcement (</w:t>
      </w:r>
      <w:proofErr w:type="spellStart"/>
      <w:r w:rsidR="00186218" w:rsidRPr="00174674">
        <w:rPr>
          <w:rFonts w:ascii="Times New Roman" w:hAnsi="Times New Roman" w:cs="Times New Roman"/>
          <w:sz w:val="24"/>
          <w:szCs w:val="24"/>
          <w:lang w:val="en-US"/>
        </w:rPr>
        <w:t>Kovryzhenko</w:t>
      </w:r>
      <w:proofErr w:type="spellEnd"/>
      <w:r w:rsidR="00186218" w:rsidRPr="00174674">
        <w:rPr>
          <w:rFonts w:ascii="Times New Roman" w:hAnsi="Times New Roman" w:cs="Times New Roman"/>
          <w:sz w:val="24"/>
          <w:szCs w:val="24"/>
          <w:lang w:val="en-US"/>
        </w:rPr>
        <w:t>, 2010).</w:t>
      </w:r>
    </w:p>
    <w:p w:rsidR="00186218" w:rsidRPr="00174674" w:rsidRDefault="00186218" w:rsidP="0005345C">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As a result, most parties and candidates easily exploited available legal loopholes and circumvented existing restrictions. Only handful of parties published their annual reports, </w:t>
      </w:r>
      <w:r w:rsidR="00D47AEB" w:rsidRPr="00174674">
        <w:rPr>
          <w:rFonts w:ascii="Times New Roman" w:hAnsi="Times New Roman" w:cs="Times New Roman"/>
          <w:sz w:val="24"/>
          <w:szCs w:val="24"/>
          <w:lang w:val="en-US"/>
        </w:rPr>
        <w:t xml:space="preserve">and these reports usually reflected tiny share of party funds and </w:t>
      </w:r>
      <w:r w:rsidR="001F4C8F" w:rsidRPr="00174674">
        <w:rPr>
          <w:rFonts w:ascii="Times New Roman" w:hAnsi="Times New Roman" w:cs="Times New Roman"/>
          <w:sz w:val="24"/>
          <w:szCs w:val="24"/>
          <w:lang w:val="en-US"/>
        </w:rPr>
        <w:t>lacked any valuable information</w:t>
      </w:r>
      <w:r w:rsidR="00D47AEB" w:rsidRPr="00174674">
        <w:rPr>
          <w:rFonts w:ascii="Times New Roman" w:hAnsi="Times New Roman" w:cs="Times New Roman"/>
          <w:sz w:val="24"/>
          <w:szCs w:val="24"/>
          <w:lang w:val="en-US"/>
        </w:rPr>
        <w:t>. During elections, prominent parties and candidates channeled most of their funds</w:t>
      </w:r>
      <w:r w:rsidR="00721221" w:rsidRPr="00174674">
        <w:rPr>
          <w:rFonts w:ascii="Times New Roman" w:hAnsi="Times New Roman" w:cs="Times New Roman"/>
          <w:sz w:val="24"/>
          <w:szCs w:val="24"/>
          <w:lang w:val="en-US"/>
        </w:rPr>
        <w:t xml:space="preserve"> outside of</w:t>
      </w:r>
      <w:r w:rsidR="00D47AEB" w:rsidRPr="00174674">
        <w:rPr>
          <w:rFonts w:ascii="Times New Roman" w:hAnsi="Times New Roman" w:cs="Times New Roman"/>
          <w:sz w:val="24"/>
          <w:szCs w:val="24"/>
          <w:lang w:val="en-US"/>
        </w:rPr>
        <w:t xml:space="preserve"> legally established bank accounts and could easily avoid responsibility for not publishing electoral </w:t>
      </w:r>
      <w:r w:rsidR="00721221" w:rsidRPr="00174674">
        <w:rPr>
          <w:rFonts w:ascii="Times New Roman" w:hAnsi="Times New Roman" w:cs="Times New Roman"/>
          <w:sz w:val="24"/>
          <w:szCs w:val="24"/>
          <w:lang w:val="en-US"/>
        </w:rPr>
        <w:t>reports</w:t>
      </w:r>
      <w:r w:rsidR="00D47AEB" w:rsidRPr="00174674">
        <w:rPr>
          <w:rFonts w:ascii="Times New Roman" w:hAnsi="Times New Roman" w:cs="Times New Roman"/>
          <w:sz w:val="24"/>
          <w:szCs w:val="24"/>
          <w:lang w:val="en-US"/>
        </w:rPr>
        <w:t xml:space="preserve">. </w:t>
      </w:r>
      <w:r w:rsidR="00721221" w:rsidRPr="00174674">
        <w:rPr>
          <w:rFonts w:ascii="Times New Roman" w:hAnsi="Times New Roman" w:cs="Times New Roman"/>
          <w:sz w:val="24"/>
          <w:szCs w:val="24"/>
          <w:lang w:val="en-US"/>
        </w:rPr>
        <w:t xml:space="preserve">The </w:t>
      </w:r>
      <w:r w:rsidR="00B72420" w:rsidRPr="00174674">
        <w:rPr>
          <w:rFonts w:ascii="Times New Roman" w:hAnsi="Times New Roman" w:cs="Times New Roman"/>
          <w:sz w:val="24"/>
          <w:szCs w:val="24"/>
          <w:lang w:val="en-US"/>
        </w:rPr>
        <w:t>Central Election Commission</w:t>
      </w:r>
      <w:r w:rsidR="00721221" w:rsidRPr="00174674">
        <w:rPr>
          <w:rFonts w:ascii="Times New Roman" w:hAnsi="Times New Roman" w:cs="Times New Roman"/>
          <w:sz w:val="24"/>
          <w:szCs w:val="24"/>
          <w:lang w:val="en-US"/>
        </w:rPr>
        <w:t xml:space="preserve"> (CEC)</w:t>
      </w:r>
      <w:r w:rsidR="00B72420" w:rsidRPr="00174674">
        <w:rPr>
          <w:rFonts w:ascii="Times New Roman" w:hAnsi="Times New Roman" w:cs="Times New Roman"/>
          <w:sz w:val="24"/>
          <w:szCs w:val="24"/>
          <w:lang w:val="en-US"/>
        </w:rPr>
        <w:t xml:space="preserve">, responsible for </w:t>
      </w:r>
      <w:proofErr w:type="gramStart"/>
      <w:r w:rsidR="00B72420" w:rsidRPr="00174674">
        <w:rPr>
          <w:rFonts w:ascii="Times New Roman" w:hAnsi="Times New Roman" w:cs="Times New Roman"/>
          <w:sz w:val="24"/>
          <w:szCs w:val="24"/>
          <w:lang w:val="en-US"/>
        </w:rPr>
        <w:t>both administ</w:t>
      </w:r>
      <w:r w:rsidR="00721221" w:rsidRPr="00174674">
        <w:rPr>
          <w:rFonts w:ascii="Times New Roman" w:hAnsi="Times New Roman" w:cs="Times New Roman"/>
          <w:sz w:val="24"/>
          <w:szCs w:val="24"/>
          <w:lang w:val="en-US"/>
        </w:rPr>
        <w:t>e</w:t>
      </w:r>
      <w:r w:rsidR="00B72420" w:rsidRPr="00174674">
        <w:rPr>
          <w:rFonts w:ascii="Times New Roman" w:hAnsi="Times New Roman" w:cs="Times New Roman"/>
          <w:sz w:val="24"/>
          <w:szCs w:val="24"/>
          <w:lang w:val="en-US"/>
        </w:rPr>
        <w:t>r</w:t>
      </w:r>
      <w:r w:rsidR="00721221" w:rsidRPr="00174674">
        <w:rPr>
          <w:rFonts w:ascii="Times New Roman" w:hAnsi="Times New Roman" w:cs="Times New Roman"/>
          <w:sz w:val="24"/>
          <w:szCs w:val="24"/>
          <w:lang w:val="en-US"/>
        </w:rPr>
        <w:t>ing</w:t>
      </w:r>
      <w:proofErr w:type="gramEnd"/>
      <w:r w:rsidR="00B72420" w:rsidRPr="00174674">
        <w:rPr>
          <w:rFonts w:ascii="Times New Roman" w:hAnsi="Times New Roman" w:cs="Times New Roman"/>
          <w:sz w:val="24"/>
          <w:szCs w:val="24"/>
          <w:lang w:val="en-US"/>
        </w:rPr>
        <w:t xml:space="preserve"> electoral process and monitoring electoral spending, lacked mandate to thoroughly check party and candidate reports or impose meaningful sanctions.</w:t>
      </w:r>
    </w:p>
    <w:p w:rsidR="0005345C" w:rsidRPr="00174674" w:rsidRDefault="0005345C" w:rsidP="0005345C">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Exaggerated role of money in politics coupled with absence of effective state regulation of political finance resulted in significant distortion of playing field, preventing new and small parties from challenging established political forces with close ties to big</w:t>
      </w:r>
      <w:r w:rsidR="00F31001" w:rsidRPr="00174674">
        <w:rPr>
          <w:rFonts w:ascii="Times New Roman" w:hAnsi="Times New Roman" w:cs="Times New Roman"/>
          <w:sz w:val="24"/>
          <w:szCs w:val="24"/>
          <w:lang w:val="en-US"/>
        </w:rPr>
        <w:t>, oligarchic</w:t>
      </w:r>
      <w:r w:rsidRPr="00174674">
        <w:rPr>
          <w:rFonts w:ascii="Times New Roman" w:hAnsi="Times New Roman" w:cs="Times New Roman"/>
          <w:sz w:val="24"/>
          <w:szCs w:val="24"/>
          <w:lang w:val="en-US"/>
        </w:rPr>
        <w:t xml:space="preserve"> business. Moreover, most parties </w:t>
      </w:r>
      <w:r w:rsidR="00F31001" w:rsidRPr="00174674">
        <w:rPr>
          <w:rFonts w:ascii="Times New Roman" w:hAnsi="Times New Roman" w:cs="Times New Roman"/>
          <w:sz w:val="24"/>
          <w:szCs w:val="24"/>
          <w:lang w:val="en-US"/>
        </w:rPr>
        <w:t xml:space="preserve">and candidates </w:t>
      </w:r>
      <w:r w:rsidR="00E43171" w:rsidRPr="00174674">
        <w:rPr>
          <w:rFonts w:ascii="Times New Roman" w:hAnsi="Times New Roman" w:cs="Times New Roman"/>
          <w:sz w:val="24"/>
          <w:szCs w:val="24"/>
          <w:lang w:val="en-US"/>
        </w:rPr>
        <w:t xml:space="preserve">heavily </w:t>
      </w:r>
      <w:r w:rsidRPr="00174674">
        <w:rPr>
          <w:rFonts w:ascii="Times New Roman" w:hAnsi="Times New Roman" w:cs="Times New Roman"/>
          <w:sz w:val="24"/>
          <w:szCs w:val="24"/>
          <w:lang w:val="en-US"/>
        </w:rPr>
        <w:t xml:space="preserve">depended on </w:t>
      </w:r>
      <w:r w:rsidR="00721221" w:rsidRPr="00174674">
        <w:rPr>
          <w:rFonts w:ascii="Times New Roman" w:hAnsi="Times New Roman" w:cs="Times New Roman"/>
          <w:sz w:val="24"/>
          <w:szCs w:val="24"/>
          <w:lang w:val="en-US"/>
        </w:rPr>
        <w:t xml:space="preserve">contributions from </w:t>
      </w:r>
      <w:r w:rsidRPr="00174674">
        <w:rPr>
          <w:rFonts w:ascii="Times New Roman" w:hAnsi="Times New Roman" w:cs="Times New Roman"/>
          <w:sz w:val="24"/>
          <w:szCs w:val="24"/>
          <w:lang w:val="en-US"/>
        </w:rPr>
        <w:t xml:space="preserve">large private donors and, thus, lacked incentives to represent interest of their voters. Finally, </w:t>
      </w:r>
      <w:r w:rsidR="00F31001" w:rsidRPr="00174674">
        <w:rPr>
          <w:rFonts w:ascii="Times New Roman" w:hAnsi="Times New Roman" w:cs="Times New Roman"/>
          <w:sz w:val="24"/>
          <w:szCs w:val="24"/>
          <w:lang w:val="en-US"/>
        </w:rPr>
        <w:t>opaque ties between oligarchs and parties resulted in proliferation of corruption, as elected officials rewarded their sponsors with privileged access to public contracts, insider privatization deals, or direct budget support (Sydorchuk, 2017</w:t>
      </w:r>
      <w:r w:rsidR="00073E7B" w:rsidRPr="00174674">
        <w:rPr>
          <w:rFonts w:ascii="Times New Roman" w:hAnsi="Times New Roman" w:cs="Times New Roman"/>
          <w:sz w:val="24"/>
          <w:szCs w:val="24"/>
          <w:lang w:val="en-US"/>
        </w:rPr>
        <w:t>, p. 36</w:t>
      </w:r>
      <w:r w:rsidR="00F31001" w:rsidRPr="00174674">
        <w:rPr>
          <w:rFonts w:ascii="Times New Roman" w:hAnsi="Times New Roman" w:cs="Times New Roman"/>
          <w:sz w:val="24"/>
          <w:szCs w:val="24"/>
          <w:lang w:val="en-US"/>
        </w:rPr>
        <w:t>).</w:t>
      </w:r>
    </w:p>
    <w:p w:rsidR="00284099" w:rsidRPr="00174674" w:rsidRDefault="00284099" w:rsidP="008F6211">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Lack of effective legal regulation of political finance in Ukraine has been long noted by several international organizations.</w:t>
      </w:r>
      <w:r w:rsidR="004C11B2" w:rsidRPr="00174674">
        <w:rPr>
          <w:rFonts w:ascii="Times New Roman" w:hAnsi="Times New Roman" w:cs="Times New Roman"/>
          <w:sz w:val="24"/>
          <w:szCs w:val="24"/>
          <w:lang w:val="en-US"/>
        </w:rPr>
        <w:t xml:space="preserve"> 20</w:t>
      </w:r>
      <w:r w:rsidR="008F6211" w:rsidRPr="00174674">
        <w:rPr>
          <w:rFonts w:ascii="Times New Roman" w:hAnsi="Times New Roman" w:cs="Times New Roman"/>
          <w:sz w:val="24"/>
          <w:szCs w:val="24"/>
          <w:lang w:val="en-US"/>
        </w:rPr>
        <w:t>1</w:t>
      </w:r>
      <w:r w:rsidR="004C11B2" w:rsidRPr="00174674">
        <w:rPr>
          <w:rFonts w:ascii="Times New Roman" w:hAnsi="Times New Roman" w:cs="Times New Roman"/>
          <w:sz w:val="24"/>
          <w:szCs w:val="24"/>
          <w:lang w:val="en-US"/>
        </w:rPr>
        <w:t xml:space="preserve">1 </w:t>
      </w:r>
      <w:r w:rsidR="008F6211" w:rsidRPr="00174674">
        <w:rPr>
          <w:rFonts w:ascii="Times New Roman" w:hAnsi="Times New Roman" w:cs="Times New Roman"/>
          <w:sz w:val="24"/>
          <w:szCs w:val="24"/>
          <w:lang w:val="en-US"/>
        </w:rPr>
        <w:t xml:space="preserve">Evaluation Report on Ukraine </w:t>
      </w:r>
      <w:r w:rsidR="004C11B2" w:rsidRPr="00174674">
        <w:rPr>
          <w:rFonts w:ascii="Times New Roman" w:hAnsi="Times New Roman" w:cs="Times New Roman"/>
          <w:sz w:val="24"/>
          <w:szCs w:val="24"/>
          <w:lang w:val="en-US"/>
        </w:rPr>
        <w:t>by GRECO pointed out that “the system of transparency in political financing falls short of the standards established by Recommendation Rec(2003)4 of the Committee of Ministers of the Council of Europe on Common Rules against Corruption in the Funding of Political Parties and Electoral Campaigns” (GRECO, 2011).</w:t>
      </w:r>
      <w:r w:rsidR="008F6211" w:rsidRPr="00174674">
        <w:rPr>
          <w:rFonts w:ascii="Times New Roman" w:hAnsi="Times New Roman" w:cs="Times New Roman"/>
          <w:sz w:val="24"/>
          <w:szCs w:val="24"/>
          <w:lang w:val="en-US"/>
        </w:rPr>
        <w:t xml:space="preserve"> Similarly, OSCE/ODIHR Needs Assessment Mission Report on the eve of 2015 local election stated that “absence of public financing for political parties or election campaigns, insufficient measures to enhance transparency, as well as a lack of enforcement mechanisms remain reasons why wealthy donor and business interests continue to wield disproportionate influence over the campaign process” (OSCE/ODIHR, 2015).</w:t>
      </w:r>
    </w:p>
    <w:p w:rsidR="00C03A08" w:rsidRPr="00174674" w:rsidRDefault="008F6211" w:rsidP="008F6211">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In order to address the above-mentioned issues and bring Ukrainian legislation of political finance in line with international standards, in 2015, a group of non-governmental experts and civic activists together with a number of pro-reform MPs developed the draft law “On Amending Certain Legislative Acts of Ukraine as regards Prevention and Countering Political Corruption” (hereinafter – the law on political finance). Although initially the law was bitterly opposed by many parliamentary factions, its authors were able to include its adoption into the list of Ukraine’s commitments under the EU-Ukraine Visa </w:t>
      </w:r>
      <w:proofErr w:type="spellStart"/>
      <w:r w:rsidRPr="00174674">
        <w:rPr>
          <w:rFonts w:ascii="Times New Roman" w:hAnsi="Times New Roman" w:cs="Times New Roman"/>
          <w:sz w:val="24"/>
          <w:szCs w:val="24"/>
          <w:lang w:val="en-US"/>
        </w:rPr>
        <w:t>Liberalisation</w:t>
      </w:r>
      <w:proofErr w:type="spellEnd"/>
      <w:r w:rsidRPr="00174674">
        <w:rPr>
          <w:rFonts w:ascii="Times New Roman" w:hAnsi="Times New Roman" w:cs="Times New Roman"/>
          <w:sz w:val="24"/>
          <w:szCs w:val="24"/>
          <w:lang w:val="en-US"/>
        </w:rPr>
        <w:t xml:space="preserve"> Dialogue. As a result, </w:t>
      </w:r>
      <w:proofErr w:type="spellStart"/>
      <w:r w:rsidRPr="00174674">
        <w:rPr>
          <w:rFonts w:ascii="Times New Roman" w:hAnsi="Times New Roman" w:cs="Times New Roman"/>
          <w:sz w:val="24"/>
          <w:szCs w:val="24"/>
          <w:lang w:val="en-US"/>
        </w:rPr>
        <w:t>Verkhovna</w:t>
      </w:r>
      <w:proofErr w:type="spellEnd"/>
      <w:r w:rsidRPr="00174674">
        <w:rPr>
          <w:rFonts w:ascii="Times New Roman" w:hAnsi="Times New Roman" w:cs="Times New Roman"/>
          <w:sz w:val="24"/>
          <w:szCs w:val="24"/>
          <w:lang w:val="en-US"/>
        </w:rPr>
        <w:t xml:space="preserve"> </w:t>
      </w:r>
      <w:proofErr w:type="spellStart"/>
      <w:r w:rsidRPr="00174674">
        <w:rPr>
          <w:rFonts w:ascii="Times New Roman" w:hAnsi="Times New Roman" w:cs="Times New Roman"/>
          <w:sz w:val="24"/>
          <w:szCs w:val="24"/>
          <w:lang w:val="en-US"/>
        </w:rPr>
        <w:t>Rada</w:t>
      </w:r>
      <w:proofErr w:type="spellEnd"/>
      <w:r w:rsidRPr="00174674">
        <w:rPr>
          <w:rFonts w:ascii="Times New Roman" w:hAnsi="Times New Roman" w:cs="Times New Roman"/>
          <w:sz w:val="24"/>
          <w:szCs w:val="24"/>
          <w:lang w:val="en-US"/>
        </w:rPr>
        <w:t xml:space="preserve"> (Ukraine’s unicameral parliament) passed the law on October 8, 2015, and it entered into force on January 1, 2016 (with the exception of </w:t>
      </w:r>
      <w:r w:rsidR="0012751C"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public</w:t>
      </w:r>
      <w:r w:rsidR="00A1660D" w:rsidRPr="00174674">
        <w:rPr>
          <w:rFonts w:ascii="Times New Roman" w:hAnsi="Times New Roman" w:cs="Times New Roman"/>
          <w:sz w:val="24"/>
          <w:szCs w:val="24"/>
          <w:lang w:val="en-US"/>
        </w:rPr>
        <w:t xml:space="preserve"> funding and some other</w:t>
      </w:r>
      <w:r w:rsidR="0012751C" w:rsidRPr="00174674">
        <w:rPr>
          <w:rFonts w:ascii="Times New Roman" w:hAnsi="Times New Roman" w:cs="Times New Roman"/>
          <w:sz w:val="24"/>
          <w:szCs w:val="24"/>
          <w:lang w:val="en-US"/>
        </w:rPr>
        <w:t xml:space="preserve"> provisions</w:t>
      </w:r>
      <w:r w:rsidR="00A1660D" w:rsidRPr="00174674">
        <w:rPr>
          <w:rFonts w:ascii="Times New Roman" w:hAnsi="Times New Roman" w:cs="Times New Roman"/>
          <w:sz w:val="24"/>
          <w:szCs w:val="24"/>
          <w:lang w:val="en-US"/>
        </w:rPr>
        <w:t xml:space="preserve">, which started to function on July 1, 2016). </w:t>
      </w:r>
    </w:p>
    <w:p w:rsidR="004F1C63" w:rsidRPr="00174674" w:rsidRDefault="004F1C63" w:rsidP="008F6211">
      <w:pPr>
        <w:spacing w:after="120" w:line="240" w:lineRule="auto"/>
        <w:ind w:firstLine="426"/>
        <w:jc w:val="both"/>
        <w:rPr>
          <w:rFonts w:ascii="Times New Roman" w:hAnsi="Times New Roman" w:cs="Times New Roman"/>
          <w:sz w:val="24"/>
          <w:szCs w:val="24"/>
          <w:lang w:val="en-US"/>
        </w:rPr>
      </w:pPr>
    </w:p>
    <w:p w:rsidR="004F1C63" w:rsidRPr="00174674" w:rsidRDefault="004F1C63" w:rsidP="008F6211">
      <w:pPr>
        <w:spacing w:after="120" w:line="240" w:lineRule="auto"/>
        <w:ind w:firstLine="426"/>
        <w:jc w:val="both"/>
        <w:rPr>
          <w:rFonts w:ascii="Times New Roman" w:hAnsi="Times New Roman" w:cs="Times New Roman"/>
          <w:sz w:val="24"/>
          <w:szCs w:val="24"/>
          <w:lang w:val="en-US"/>
        </w:rPr>
      </w:pPr>
    </w:p>
    <w:p w:rsidR="004F1C63" w:rsidRPr="00174674" w:rsidRDefault="004F1C63" w:rsidP="008F6211">
      <w:pPr>
        <w:spacing w:after="120" w:line="240" w:lineRule="auto"/>
        <w:ind w:firstLine="426"/>
        <w:jc w:val="both"/>
        <w:rPr>
          <w:rFonts w:ascii="Times New Roman" w:hAnsi="Times New Roman" w:cs="Times New Roman"/>
          <w:sz w:val="24"/>
          <w:szCs w:val="24"/>
          <w:lang w:val="en-US"/>
        </w:rPr>
      </w:pPr>
    </w:p>
    <w:p w:rsidR="004F1C63" w:rsidRPr="00174674" w:rsidRDefault="004F1C63" w:rsidP="008F6211">
      <w:pPr>
        <w:spacing w:after="120" w:line="240" w:lineRule="auto"/>
        <w:ind w:firstLine="426"/>
        <w:jc w:val="both"/>
        <w:rPr>
          <w:rFonts w:ascii="Sylfaen" w:hAnsi="Sylfaen" w:cs="Times New Roman"/>
          <w:sz w:val="24"/>
          <w:szCs w:val="24"/>
          <w:lang w:val="ka-GE"/>
        </w:rPr>
      </w:pPr>
    </w:p>
    <w:p w:rsidR="00C03A08" w:rsidRPr="00174674" w:rsidRDefault="00E647F6" w:rsidP="00174674">
      <w:pPr>
        <w:spacing w:after="12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LEGISLATION AND POLICY ANALYSIS</w:t>
      </w:r>
    </w:p>
    <w:p w:rsidR="00C03A08" w:rsidRDefault="00C03A08" w:rsidP="00C03A08">
      <w:pPr>
        <w:spacing w:after="120" w:line="240" w:lineRule="auto"/>
        <w:ind w:firstLine="426"/>
        <w:jc w:val="both"/>
        <w:rPr>
          <w:rFonts w:ascii="Sylfaen" w:hAnsi="Sylfaen" w:cs="Times New Roman"/>
          <w:sz w:val="24"/>
          <w:szCs w:val="24"/>
          <w:lang w:val="ka-GE"/>
        </w:rPr>
      </w:pPr>
      <w:r w:rsidRPr="00174674">
        <w:rPr>
          <w:rFonts w:ascii="Times New Roman" w:hAnsi="Times New Roman" w:cs="Times New Roman"/>
          <w:sz w:val="24"/>
          <w:szCs w:val="24"/>
          <w:lang w:val="en-US"/>
        </w:rPr>
        <w:t>The law on political finance established new, comprehensive model of regulation of party and candidate finance</w:t>
      </w:r>
      <w:r w:rsidR="00FA4AA5" w:rsidRPr="00174674">
        <w:rPr>
          <w:rFonts w:ascii="Times New Roman" w:hAnsi="Times New Roman" w:cs="Times New Roman"/>
          <w:sz w:val="24"/>
          <w:szCs w:val="24"/>
          <w:lang w:val="en-US"/>
        </w:rPr>
        <w:t xml:space="preserve"> in Ukraine by introducing changes to several legal acts, including the law on political parties, the electoral laws, the law on prevention of corruption and criminal and administrative offence codes.</w:t>
      </w:r>
      <w:r w:rsidRPr="00174674">
        <w:rPr>
          <w:rFonts w:ascii="Times New Roman" w:hAnsi="Times New Roman" w:cs="Times New Roman"/>
          <w:sz w:val="24"/>
          <w:szCs w:val="24"/>
          <w:lang w:val="en-US"/>
        </w:rPr>
        <w:t xml:space="preserve"> In line with recommendations of international organizations, </w:t>
      </w:r>
      <w:r w:rsidR="00BB12D1" w:rsidRPr="00174674">
        <w:rPr>
          <w:rFonts w:ascii="Times New Roman" w:hAnsi="Times New Roman" w:cs="Times New Roman"/>
          <w:sz w:val="24"/>
          <w:szCs w:val="24"/>
          <w:lang w:val="en-US"/>
        </w:rPr>
        <w:t xml:space="preserve">the legal changes touched upon all significant areas related to the role of money in politics. The law introduced changes in the following areas: 1) sources of party and candidates </w:t>
      </w:r>
      <w:r w:rsidR="00541E6F" w:rsidRPr="00174674">
        <w:rPr>
          <w:rFonts w:ascii="Times New Roman" w:hAnsi="Times New Roman" w:cs="Times New Roman"/>
          <w:sz w:val="24"/>
          <w:szCs w:val="24"/>
          <w:lang w:val="en-US"/>
        </w:rPr>
        <w:t>income</w:t>
      </w:r>
      <w:r w:rsidR="00BB12D1" w:rsidRPr="00174674">
        <w:rPr>
          <w:rFonts w:ascii="Times New Roman" w:hAnsi="Times New Roman" w:cs="Times New Roman"/>
          <w:sz w:val="24"/>
          <w:szCs w:val="24"/>
          <w:lang w:val="en-US"/>
        </w:rPr>
        <w:t>; 2) party and campaign expenses; 3) disclosure requirements; 4) state monitoring</w:t>
      </w:r>
      <w:r w:rsidR="00DF6C47" w:rsidRPr="00174674">
        <w:rPr>
          <w:rFonts w:ascii="Times New Roman" w:hAnsi="Times New Roman" w:cs="Times New Roman"/>
          <w:sz w:val="24"/>
          <w:szCs w:val="24"/>
          <w:lang w:val="en-US"/>
        </w:rPr>
        <w:t xml:space="preserve"> of political finance</w:t>
      </w:r>
      <w:r w:rsidR="00BB12D1" w:rsidRPr="00174674">
        <w:rPr>
          <w:rFonts w:ascii="Times New Roman" w:hAnsi="Times New Roman" w:cs="Times New Roman"/>
          <w:sz w:val="24"/>
          <w:szCs w:val="24"/>
          <w:lang w:val="en-US"/>
        </w:rPr>
        <w:t>; 5) sanctions for non-compliance.</w:t>
      </w:r>
      <w:r w:rsidR="003A2698" w:rsidRPr="00174674">
        <w:rPr>
          <w:rFonts w:ascii="Times New Roman" w:hAnsi="Times New Roman" w:cs="Times New Roman"/>
          <w:sz w:val="24"/>
          <w:szCs w:val="24"/>
          <w:lang w:val="en-US"/>
        </w:rPr>
        <w:t xml:space="preserve"> The law received overall positive assessment from GRECO</w:t>
      </w:r>
      <w:r w:rsidR="009420ED" w:rsidRPr="00174674">
        <w:rPr>
          <w:rFonts w:ascii="Times New Roman" w:hAnsi="Times New Roman" w:cs="Times New Roman"/>
          <w:sz w:val="24"/>
          <w:szCs w:val="24"/>
          <w:lang w:val="uk-UA"/>
        </w:rPr>
        <w:t xml:space="preserve"> (2015)</w:t>
      </w:r>
      <w:r w:rsidR="003A2698" w:rsidRPr="00174674">
        <w:rPr>
          <w:rFonts w:ascii="Times New Roman" w:hAnsi="Times New Roman" w:cs="Times New Roman"/>
          <w:sz w:val="24"/>
          <w:szCs w:val="24"/>
          <w:lang w:val="en-US"/>
        </w:rPr>
        <w:t xml:space="preserve"> and OSCE/ODIHR</w:t>
      </w:r>
      <w:r w:rsidR="009420ED" w:rsidRPr="00174674">
        <w:rPr>
          <w:rFonts w:ascii="Times New Roman" w:hAnsi="Times New Roman" w:cs="Times New Roman"/>
          <w:sz w:val="24"/>
          <w:szCs w:val="24"/>
          <w:lang w:val="uk-UA"/>
        </w:rPr>
        <w:t xml:space="preserve"> </w:t>
      </w:r>
      <w:r w:rsidR="009420ED" w:rsidRPr="00174674">
        <w:rPr>
          <w:rFonts w:ascii="Times New Roman" w:hAnsi="Times New Roman" w:cs="Times New Roman"/>
          <w:sz w:val="24"/>
          <w:szCs w:val="24"/>
          <w:lang w:val="en-US"/>
        </w:rPr>
        <w:t xml:space="preserve">and the Venice Commission </w:t>
      </w:r>
      <w:r w:rsidR="009420ED" w:rsidRPr="00174674">
        <w:rPr>
          <w:rFonts w:ascii="Times New Roman" w:hAnsi="Times New Roman" w:cs="Times New Roman"/>
          <w:sz w:val="24"/>
          <w:szCs w:val="24"/>
          <w:lang w:val="uk-UA"/>
        </w:rPr>
        <w:t>(2015)</w:t>
      </w:r>
      <w:r w:rsidR="00D7096F" w:rsidRPr="00174674">
        <w:rPr>
          <w:rStyle w:val="FootnoteReference"/>
          <w:rFonts w:ascii="Times New Roman" w:hAnsi="Times New Roman" w:cs="Times New Roman"/>
          <w:sz w:val="24"/>
          <w:szCs w:val="24"/>
          <w:lang w:val="en-US"/>
        </w:rPr>
        <w:footnoteReference w:id="2"/>
      </w:r>
      <w:r w:rsidR="003A2698" w:rsidRPr="00174674">
        <w:rPr>
          <w:rFonts w:ascii="Times New Roman" w:hAnsi="Times New Roman" w:cs="Times New Roman"/>
          <w:sz w:val="24"/>
          <w:szCs w:val="24"/>
          <w:lang w:val="en-US"/>
        </w:rPr>
        <w:t>, although both organizations pointed to several areas in need of further improvement.</w:t>
      </w:r>
      <w:r w:rsidR="00BB12D1" w:rsidRPr="00174674">
        <w:rPr>
          <w:rFonts w:ascii="Times New Roman" w:hAnsi="Times New Roman" w:cs="Times New Roman"/>
          <w:sz w:val="24"/>
          <w:szCs w:val="24"/>
          <w:lang w:val="en-US"/>
        </w:rPr>
        <w:t xml:space="preserve"> </w:t>
      </w:r>
      <w:r w:rsidR="00541E6F" w:rsidRPr="00174674">
        <w:rPr>
          <w:rFonts w:ascii="Times New Roman" w:hAnsi="Times New Roman" w:cs="Times New Roman"/>
          <w:sz w:val="24"/>
          <w:szCs w:val="24"/>
          <w:lang w:val="en-US"/>
        </w:rPr>
        <w:t>In the following subsections, analysis of legal changes in the above-mentioned spheres and their implementation will be presented.</w:t>
      </w:r>
    </w:p>
    <w:p w:rsidR="00174674" w:rsidRPr="00174674" w:rsidRDefault="00174674" w:rsidP="00C03A08">
      <w:pPr>
        <w:spacing w:after="120" w:line="240" w:lineRule="auto"/>
        <w:ind w:firstLine="426"/>
        <w:jc w:val="both"/>
        <w:rPr>
          <w:rFonts w:ascii="Sylfaen" w:hAnsi="Sylfaen" w:cs="Times New Roman"/>
          <w:sz w:val="24"/>
          <w:szCs w:val="24"/>
          <w:lang w:val="ka-GE"/>
        </w:rPr>
      </w:pPr>
    </w:p>
    <w:p w:rsidR="00541E6F" w:rsidRPr="00174674" w:rsidRDefault="00541E6F" w:rsidP="00C03A08">
      <w:pPr>
        <w:spacing w:after="120" w:line="240" w:lineRule="auto"/>
        <w:ind w:firstLine="426"/>
        <w:jc w:val="both"/>
        <w:rPr>
          <w:rFonts w:ascii="Times New Roman" w:hAnsi="Times New Roman" w:cs="Times New Roman"/>
          <w:b/>
          <w:i/>
          <w:sz w:val="24"/>
          <w:szCs w:val="24"/>
          <w:lang w:val="en-US"/>
        </w:rPr>
      </w:pPr>
      <w:r w:rsidRPr="00174674">
        <w:rPr>
          <w:rFonts w:ascii="Times New Roman" w:hAnsi="Times New Roman" w:cs="Times New Roman"/>
          <w:b/>
          <w:i/>
          <w:sz w:val="24"/>
          <w:szCs w:val="24"/>
          <w:lang w:val="en-US"/>
        </w:rPr>
        <w:t>Sources of income</w:t>
      </w:r>
    </w:p>
    <w:p w:rsidR="00541E6F" w:rsidRPr="00174674" w:rsidRDefault="00806EBC" w:rsidP="00C03A08">
      <w:pPr>
        <w:spacing w:after="120" w:line="240" w:lineRule="auto"/>
        <w:ind w:firstLine="426"/>
        <w:jc w:val="both"/>
        <w:rPr>
          <w:rFonts w:ascii="Times New Roman" w:hAnsi="Times New Roman" w:cs="Times New Roman"/>
          <w:sz w:val="24"/>
          <w:szCs w:val="24"/>
          <w:lang w:val="en-US"/>
        </w:rPr>
      </w:pPr>
      <w:proofErr w:type="gramStart"/>
      <w:r w:rsidRPr="00174674">
        <w:rPr>
          <w:rFonts w:ascii="Times New Roman" w:hAnsi="Times New Roman" w:cs="Times New Roman"/>
          <w:i/>
          <w:sz w:val="24"/>
          <w:szCs w:val="24"/>
          <w:lang w:val="en-US"/>
        </w:rPr>
        <w:t>Private</w:t>
      </w:r>
      <w:r w:rsidR="005F2E94" w:rsidRPr="00174674">
        <w:rPr>
          <w:rFonts w:ascii="Times New Roman" w:hAnsi="Times New Roman" w:cs="Times New Roman"/>
          <w:i/>
          <w:sz w:val="24"/>
          <w:szCs w:val="24"/>
          <w:lang w:val="en-US"/>
        </w:rPr>
        <w:t xml:space="preserve"> funding</w:t>
      </w:r>
      <w:r w:rsidRPr="00174674">
        <w:rPr>
          <w:rFonts w:ascii="Times New Roman" w:hAnsi="Times New Roman" w:cs="Times New Roman"/>
          <w:i/>
          <w:sz w:val="24"/>
          <w:szCs w:val="24"/>
          <w:lang w:val="en-US"/>
        </w:rPr>
        <w:t>.</w:t>
      </w:r>
      <w:proofErr w:type="gramEnd"/>
      <w:r w:rsidRPr="00174674">
        <w:rPr>
          <w:rFonts w:ascii="Times New Roman" w:hAnsi="Times New Roman" w:cs="Times New Roman"/>
          <w:i/>
          <w:sz w:val="24"/>
          <w:szCs w:val="24"/>
          <w:lang w:val="en-US"/>
        </w:rPr>
        <w:t xml:space="preserve"> </w:t>
      </w:r>
      <w:r w:rsidR="00541E6F" w:rsidRPr="00174674">
        <w:rPr>
          <w:rFonts w:ascii="Times New Roman" w:hAnsi="Times New Roman" w:cs="Times New Roman"/>
          <w:sz w:val="24"/>
          <w:szCs w:val="24"/>
          <w:lang w:val="en-US"/>
        </w:rPr>
        <w:t xml:space="preserve">According to the new law, parties could raise funds from both private and public </w:t>
      </w:r>
      <w:r w:rsidR="00FA4AA5" w:rsidRPr="00174674">
        <w:rPr>
          <w:rFonts w:ascii="Times New Roman" w:hAnsi="Times New Roman" w:cs="Times New Roman"/>
          <w:sz w:val="24"/>
          <w:szCs w:val="24"/>
          <w:lang w:val="en-US"/>
        </w:rPr>
        <w:t>sources. The law established ban on contributions to parties and candidates from numerous sources: public administration bodies (except in case of direct and indirect public funding, as envisaged by the law)</w:t>
      </w:r>
      <w:r w:rsidR="00736A7F" w:rsidRPr="00174674">
        <w:rPr>
          <w:rFonts w:ascii="Times New Roman" w:hAnsi="Times New Roman" w:cs="Times New Roman"/>
          <w:sz w:val="24"/>
          <w:szCs w:val="24"/>
          <w:lang w:val="en-US"/>
        </w:rPr>
        <w:t>;</w:t>
      </w:r>
      <w:r w:rsidR="00FA4AA5" w:rsidRPr="00174674">
        <w:rPr>
          <w:rFonts w:ascii="Times New Roman" w:hAnsi="Times New Roman" w:cs="Times New Roman"/>
          <w:sz w:val="24"/>
          <w:szCs w:val="24"/>
          <w:lang w:val="en-US"/>
        </w:rPr>
        <w:t xml:space="preserve"> public enterprises where state possesses at least 10 per cent of shares</w:t>
      </w:r>
      <w:r w:rsidR="00736A7F" w:rsidRPr="00174674">
        <w:rPr>
          <w:rFonts w:ascii="Times New Roman" w:hAnsi="Times New Roman" w:cs="Times New Roman"/>
          <w:sz w:val="24"/>
          <w:szCs w:val="24"/>
          <w:lang w:val="en-US"/>
        </w:rPr>
        <w:t>;</w:t>
      </w:r>
      <w:r w:rsidR="00FA4AA5" w:rsidRPr="00174674">
        <w:rPr>
          <w:rFonts w:ascii="Times New Roman" w:hAnsi="Times New Roman" w:cs="Times New Roman"/>
          <w:sz w:val="24"/>
          <w:szCs w:val="24"/>
          <w:lang w:val="en-US"/>
        </w:rPr>
        <w:t xml:space="preserve"> foreign states, individuals and companies</w:t>
      </w:r>
      <w:r w:rsidR="00736A7F" w:rsidRPr="00174674">
        <w:rPr>
          <w:rFonts w:ascii="Times New Roman" w:hAnsi="Times New Roman" w:cs="Times New Roman"/>
          <w:sz w:val="24"/>
          <w:szCs w:val="24"/>
          <w:lang w:val="en-US"/>
        </w:rPr>
        <w:t>;</w:t>
      </w:r>
      <w:r w:rsidR="00FA4AA5" w:rsidRPr="00174674">
        <w:rPr>
          <w:rFonts w:ascii="Times New Roman" w:hAnsi="Times New Roman" w:cs="Times New Roman"/>
          <w:sz w:val="24"/>
          <w:szCs w:val="24"/>
          <w:lang w:val="en-US"/>
        </w:rPr>
        <w:t xml:space="preserve"> charitable or religious organizations</w:t>
      </w:r>
      <w:r w:rsidR="00736A7F" w:rsidRPr="00174674">
        <w:rPr>
          <w:rFonts w:ascii="Times New Roman" w:hAnsi="Times New Roman" w:cs="Times New Roman"/>
          <w:sz w:val="24"/>
          <w:szCs w:val="24"/>
          <w:lang w:val="en-US"/>
        </w:rPr>
        <w:t>;</w:t>
      </w:r>
      <w:r w:rsidR="00FA4AA5" w:rsidRPr="00174674">
        <w:rPr>
          <w:rFonts w:ascii="Times New Roman" w:hAnsi="Times New Roman" w:cs="Times New Roman"/>
          <w:sz w:val="24"/>
          <w:szCs w:val="24"/>
          <w:lang w:val="en-US"/>
        </w:rPr>
        <w:t xml:space="preserve"> anonymous persons</w:t>
      </w:r>
      <w:r w:rsidR="00736A7F" w:rsidRPr="00174674">
        <w:rPr>
          <w:rFonts w:ascii="Times New Roman" w:hAnsi="Times New Roman" w:cs="Times New Roman"/>
          <w:sz w:val="24"/>
          <w:szCs w:val="24"/>
          <w:lang w:val="en-US"/>
        </w:rPr>
        <w:t>;</w:t>
      </w:r>
      <w:r w:rsidR="00FA4AA5" w:rsidRPr="00174674">
        <w:rPr>
          <w:rFonts w:ascii="Times New Roman" w:hAnsi="Times New Roman" w:cs="Times New Roman"/>
          <w:sz w:val="24"/>
          <w:szCs w:val="24"/>
          <w:lang w:val="en-US"/>
        </w:rPr>
        <w:t xml:space="preserve"> other political parties</w:t>
      </w:r>
      <w:r w:rsidR="00736A7F" w:rsidRPr="00174674">
        <w:rPr>
          <w:rFonts w:ascii="Times New Roman" w:hAnsi="Times New Roman" w:cs="Times New Roman"/>
          <w:sz w:val="24"/>
          <w:szCs w:val="24"/>
          <w:lang w:val="en-US"/>
        </w:rPr>
        <w:t>;</w:t>
      </w:r>
      <w:r w:rsidR="00FA4AA5" w:rsidRPr="00174674">
        <w:rPr>
          <w:rFonts w:ascii="Times New Roman" w:hAnsi="Times New Roman" w:cs="Times New Roman"/>
          <w:sz w:val="24"/>
          <w:szCs w:val="24"/>
          <w:lang w:val="en-US"/>
        </w:rPr>
        <w:t xml:space="preserve"> </w:t>
      </w:r>
      <w:r w:rsidR="00736A7F" w:rsidRPr="00174674">
        <w:rPr>
          <w:rFonts w:ascii="Times New Roman" w:hAnsi="Times New Roman" w:cs="Times New Roman"/>
          <w:sz w:val="24"/>
          <w:szCs w:val="24"/>
          <w:lang w:val="en-US"/>
        </w:rPr>
        <w:t xml:space="preserve">and </w:t>
      </w:r>
      <w:r w:rsidR="00FA4AA5" w:rsidRPr="00174674">
        <w:rPr>
          <w:rFonts w:ascii="Times New Roman" w:hAnsi="Times New Roman" w:cs="Times New Roman"/>
          <w:sz w:val="24"/>
          <w:szCs w:val="24"/>
          <w:lang w:val="en-US"/>
        </w:rPr>
        <w:t>individuals and companies</w:t>
      </w:r>
      <w:r w:rsidR="00736A7F" w:rsidRPr="00174674">
        <w:rPr>
          <w:rFonts w:ascii="Times New Roman" w:hAnsi="Times New Roman" w:cs="Times New Roman"/>
          <w:sz w:val="24"/>
          <w:szCs w:val="24"/>
          <w:lang w:val="en-US"/>
        </w:rPr>
        <w:t xml:space="preserve"> having government contracts or in debt.</w:t>
      </w:r>
    </w:p>
    <w:p w:rsidR="00736A7F" w:rsidRPr="00174674" w:rsidRDefault="00736A7F" w:rsidP="00C03A08">
      <w:pPr>
        <w:spacing w:after="120" w:line="240" w:lineRule="auto"/>
        <w:ind w:firstLine="426"/>
        <w:jc w:val="both"/>
        <w:rPr>
          <w:rFonts w:ascii="Times New Roman" w:hAnsi="Times New Roman" w:cs="Times New Roman"/>
          <w:sz w:val="24"/>
          <w:szCs w:val="24"/>
          <w:lang w:val="uk-UA"/>
        </w:rPr>
      </w:pPr>
      <w:r w:rsidRPr="00174674">
        <w:rPr>
          <w:rFonts w:ascii="Times New Roman" w:hAnsi="Times New Roman" w:cs="Times New Roman"/>
          <w:sz w:val="24"/>
          <w:szCs w:val="24"/>
          <w:lang w:val="en-US"/>
        </w:rPr>
        <w:t>More importantly, the law for the first time established caps for</w:t>
      </w:r>
      <w:r w:rsidR="00160D6D" w:rsidRPr="00174674">
        <w:rPr>
          <w:rFonts w:ascii="Times New Roman" w:hAnsi="Times New Roman" w:cs="Times New Roman"/>
          <w:sz w:val="24"/>
          <w:szCs w:val="24"/>
          <w:lang w:val="en-US"/>
        </w:rPr>
        <w:t xml:space="preserve"> contributions individuals and companies could give to</w:t>
      </w:r>
      <w:r w:rsidRPr="00174674">
        <w:rPr>
          <w:rFonts w:ascii="Times New Roman" w:hAnsi="Times New Roman" w:cs="Times New Roman"/>
          <w:sz w:val="24"/>
          <w:szCs w:val="24"/>
          <w:lang w:val="en-US"/>
        </w:rPr>
        <w:t xml:space="preserve"> parties and candidates </w:t>
      </w:r>
      <w:r w:rsidR="00160D6D" w:rsidRPr="00174674">
        <w:rPr>
          <w:rFonts w:ascii="Times New Roman" w:hAnsi="Times New Roman" w:cs="Times New Roman"/>
          <w:sz w:val="24"/>
          <w:szCs w:val="24"/>
          <w:lang w:val="en-US"/>
        </w:rPr>
        <w:t>during a given year</w:t>
      </w:r>
      <w:r w:rsidRPr="00174674">
        <w:rPr>
          <w:rFonts w:ascii="Times New Roman" w:hAnsi="Times New Roman" w:cs="Times New Roman"/>
          <w:sz w:val="24"/>
          <w:szCs w:val="24"/>
          <w:lang w:val="en-US"/>
        </w:rPr>
        <w:t xml:space="preserve">. These caps were aimed at limiting excessive party dependence on oligarchic money, but before the adoption of the law </w:t>
      </w:r>
      <w:r w:rsidR="00160D6D" w:rsidRPr="00174674">
        <w:rPr>
          <w:rFonts w:ascii="Times New Roman" w:hAnsi="Times New Roman" w:cs="Times New Roman"/>
          <w:sz w:val="24"/>
          <w:szCs w:val="24"/>
          <w:lang w:val="en-US"/>
        </w:rPr>
        <w:t xml:space="preserve">in the final reading, the upper limits </w:t>
      </w:r>
      <w:r w:rsidR="00073E7B" w:rsidRPr="00174674">
        <w:rPr>
          <w:rFonts w:ascii="Times New Roman" w:hAnsi="Times New Roman" w:cs="Times New Roman"/>
          <w:sz w:val="24"/>
          <w:szCs w:val="24"/>
          <w:lang w:val="en-US"/>
        </w:rPr>
        <w:t>were</w:t>
      </w:r>
      <w:r w:rsidR="00160D6D" w:rsidRPr="00174674">
        <w:rPr>
          <w:rFonts w:ascii="Times New Roman" w:hAnsi="Times New Roman" w:cs="Times New Roman"/>
          <w:sz w:val="24"/>
          <w:szCs w:val="24"/>
          <w:lang w:val="en-US"/>
        </w:rPr>
        <w:t xml:space="preserve"> raised fou</w:t>
      </w:r>
      <w:r w:rsidR="00C76245" w:rsidRPr="00174674">
        <w:rPr>
          <w:rFonts w:ascii="Times New Roman" w:hAnsi="Times New Roman" w:cs="Times New Roman"/>
          <w:sz w:val="24"/>
          <w:szCs w:val="24"/>
          <w:lang w:val="en-US"/>
        </w:rPr>
        <w:t>rfold upon the initiative of MPs</w:t>
      </w:r>
      <w:r w:rsidR="00160D6D" w:rsidRPr="00174674">
        <w:rPr>
          <w:rFonts w:ascii="Times New Roman" w:hAnsi="Times New Roman" w:cs="Times New Roman"/>
          <w:sz w:val="24"/>
          <w:szCs w:val="24"/>
          <w:lang w:val="en-US"/>
        </w:rPr>
        <w:t xml:space="preserve"> from the parliamentary</w:t>
      </w:r>
      <w:r w:rsidR="00C76245" w:rsidRPr="00174674">
        <w:rPr>
          <w:rFonts w:ascii="Times New Roman" w:hAnsi="Times New Roman" w:cs="Times New Roman"/>
          <w:sz w:val="24"/>
          <w:szCs w:val="24"/>
          <w:lang w:val="en-US"/>
        </w:rPr>
        <w:t xml:space="preserve"> coalition</w:t>
      </w:r>
      <w:r w:rsidR="00160D6D" w:rsidRPr="00174674">
        <w:rPr>
          <w:rFonts w:ascii="Times New Roman" w:hAnsi="Times New Roman" w:cs="Times New Roman"/>
          <w:sz w:val="24"/>
          <w:szCs w:val="24"/>
          <w:lang w:val="en-US"/>
        </w:rPr>
        <w:t xml:space="preserve"> – to 400 minimal salaries for individuals and 800 minimal salaries for companies. This move drew criticism from non-governmental experts who pointed that such high contribution limits would fail to </w:t>
      </w:r>
      <w:r w:rsidR="005376B5" w:rsidRPr="00174674">
        <w:rPr>
          <w:rFonts w:ascii="Times New Roman" w:hAnsi="Times New Roman" w:cs="Times New Roman"/>
          <w:sz w:val="24"/>
          <w:szCs w:val="24"/>
          <w:lang w:val="en-US"/>
        </w:rPr>
        <w:t>curb</w:t>
      </w:r>
      <w:r w:rsidR="00160D6D" w:rsidRPr="00174674">
        <w:rPr>
          <w:rFonts w:ascii="Times New Roman" w:hAnsi="Times New Roman" w:cs="Times New Roman"/>
          <w:sz w:val="24"/>
          <w:szCs w:val="24"/>
          <w:lang w:val="en-US"/>
        </w:rPr>
        <w:t xml:space="preserve"> undue influence </w:t>
      </w:r>
      <w:r w:rsidR="005376B5" w:rsidRPr="00174674">
        <w:rPr>
          <w:rFonts w:ascii="Times New Roman" w:hAnsi="Times New Roman" w:cs="Times New Roman"/>
          <w:sz w:val="24"/>
          <w:szCs w:val="24"/>
          <w:lang w:val="en-US"/>
        </w:rPr>
        <w:t>o</w:t>
      </w:r>
      <w:r w:rsidR="00160D6D" w:rsidRPr="00174674">
        <w:rPr>
          <w:rFonts w:ascii="Times New Roman" w:hAnsi="Times New Roman" w:cs="Times New Roman"/>
          <w:sz w:val="24"/>
          <w:szCs w:val="24"/>
          <w:lang w:val="en-US"/>
        </w:rPr>
        <w:t xml:space="preserve">f large private donors. Moreover, after the increase of minimal salary in Ukraine </w:t>
      </w:r>
      <w:r w:rsidR="005376B5" w:rsidRPr="00174674">
        <w:rPr>
          <w:rFonts w:ascii="Times New Roman" w:hAnsi="Times New Roman" w:cs="Times New Roman"/>
          <w:sz w:val="24"/>
          <w:szCs w:val="24"/>
          <w:lang w:val="en-US"/>
        </w:rPr>
        <w:t>in</w:t>
      </w:r>
      <w:r w:rsidR="00160D6D" w:rsidRPr="00174674">
        <w:rPr>
          <w:rFonts w:ascii="Times New Roman" w:hAnsi="Times New Roman" w:cs="Times New Roman"/>
          <w:sz w:val="24"/>
          <w:szCs w:val="24"/>
          <w:lang w:val="en-US"/>
        </w:rPr>
        <w:t xml:space="preserve"> January 2017, the actual contribution limits further increased twofold – to UAH 1,280,000 (EUR 43,600) for individuals and UAH 2,560,000 for companies (EUR 87,200).</w:t>
      </w:r>
    </w:p>
    <w:p w:rsidR="00465C89" w:rsidRPr="00174674" w:rsidRDefault="00C2347F" w:rsidP="00C2347F">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The new law also clearly defined and significantly broadened the meaning of donation, addressing one of the key GRECO recommendations. Donations to party now includes not only monetary or material contributions, but also services and works, including those provided free of charge or at a price lower than market price</w:t>
      </w:r>
      <w:r w:rsidR="00C76245" w:rsidRPr="00174674">
        <w:rPr>
          <w:rFonts w:ascii="Times New Roman" w:hAnsi="Times New Roman" w:cs="Times New Roman"/>
          <w:sz w:val="24"/>
          <w:szCs w:val="24"/>
          <w:lang w:val="en-US"/>
        </w:rPr>
        <w:t xml:space="preserve"> of similar product</w:t>
      </w:r>
      <w:r w:rsidRPr="00174674">
        <w:rPr>
          <w:rFonts w:ascii="Times New Roman" w:hAnsi="Times New Roman" w:cs="Times New Roman"/>
          <w:sz w:val="24"/>
          <w:szCs w:val="24"/>
          <w:lang w:val="en-US"/>
        </w:rPr>
        <w:t xml:space="preserve">. Furthermore, </w:t>
      </w:r>
      <w:r w:rsidR="00C76245" w:rsidRPr="00174674">
        <w:rPr>
          <w:rFonts w:ascii="Times New Roman" w:hAnsi="Times New Roman" w:cs="Times New Roman"/>
          <w:sz w:val="24"/>
          <w:szCs w:val="24"/>
          <w:lang w:val="en-US"/>
        </w:rPr>
        <w:t xml:space="preserve">in-kind contributions </w:t>
      </w:r>
      <w:r w:rsidRPr="00174674">
        <w:rPr>
          <w:rFonts w:ascii="Times New Roman" w:hAnsi="Times New Roman" w:cs="Times New Roman"/>
          <w:sz w:val="24"/>
          <w:szCs w:val="24"/>
          <w:lang w:val="en-US"/>
        </w:rPr>
        <w:t>should</w:t>
      </w:r>
      <w:r w:rsidR="00C76245" w:rsidRPr="00174674">
        <w:rPr>
          <w:rFonts w:ascii="Times New Roman" w:hAnsi="Times New Roman" w:cs="Times New Roman"/>
          <w:sz w:val="24"/>
          <w:szCs w:val="24"/>
          <w:lang w:val="en-US"/>
        </w:rPr>
        <w:t xml:space="preserve"> also</w:t>
      </w:r>
      <w:r w:rsidRPr="00174674">
        <w:rPr>
          <w:rFonts w:ascii="Times New Roman" w:hAnsi="Times New Roman" w:cs="Times New Roman"/>
          <w:sz w:val="24"/>
          <w:szCs w:val="24"/>
          <w:lang w:val="en-US"/>
        </w:rPr>
        <w:t xml:space="preserve"> fall under newly established donation limits and their price should be calculated on the basis of market value of similar services, goods, and works according to the methodology </w:t>
      </w:r>
      <w:r w:rsidR="003A2698" w:rsidRPr="00174674">
        <w:rPr>
          <w:rFonts w:ascii="Times New Roman" w:hAnsi="Times New Roman" w:cs="Times New Roman"/>
          <w:sz w:val="24"/>
          <w:szCs w:val="24"/>
          <w:lang w:val="en-US"/>
        </w:rPr>
        <w:t xml:space="preserve">to be </w:t>
      </w:r>
      <w:r w:rsidRPr="00174674">
        <w:rPr>
          <w:rFonts w:ascii="Times New Roman" w:hAnsi="Times New Roman" w:cs="Times New Roman"/>
          <w:sz w:val="24"/>
          <w:szCs w:val="24"/>
          <w:lang w:val="en-US"/>
        </w:rPr>
        <w:t>developed by</w:t>
      </w:r>
      <w:r w:rsidR="00AB4616" w:rsidRPr="00174674">
        <w:rPr>
          <w:rFonts w:ascii="Times New Roman" w:hAnsi="Times New Roman" w:cs="Times New Roman"/>
          <w:sz w:val="24"/>
          <w:szCs w:val="24"/>
          <w:lang w:val="en-US"/>
        </w:rPr>
        <w:t xml:space="preserve"> the</w:t>
      </w:r>
      <w:r w:rsidRPr="00174674">
        <w:rPr>
          <w:rFonts w:ascii="Times New Roman" w:hAnsi="Times New Roman" w:cs="Times New Roman"/>
          <w:sz w:val="24"/>
          <w:szCs w:val="24"/>
          <w:lang w:val="en-US"/>
        </w:rPr>
        <w:t xml:space="preserve"> NAPC. </w:t>
      </w:r>
      <w:r w:rsidR="00DE564B" w:rsidRPr="00174674">
        <w:rPr>
          <w:rFonts w:ascii="Times New Roman" w:hAnsi="Times New Roman" w:cs="Times New Roman"/>
          <w:sz w:val="24"/>
          <w:szCs w:val="24"/>
          <w:lang w:val="en-US"/>
        </w:rPr>
        <w:t>At the same time, donations in cash are explicitly forbidden.</w:t>
      </w:r>
    </w:p>
    <w:p w:rsidR="003A2698" w:rsidRPr="00174674" w:rsidRDefault="003A2698" w:rsidP="00C2347F">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Similar rules for making donations were established for electoral funds of parties and candidates on parliamentary and presidential elections</w:t>
      </w:r>
      <w:r w:rsidR="00C94385" w:rsidRPr="00174674">
        <w:rPr>
          <w:rFonts w:ascii="Times New Roman" w:hAnsi="Times New Roman" w:cs="Times New Roman"/>
          <w:sz w:val="24"/>
          <w:szCs w:val="24"/>
          <w:lang w:val="en-US"/>
        </w:rPr>
        <w:t>, but not for local elections, which continue to be regulated by different provisions</w:t>
      </w:r>
      <w:r w:rsidRPr="00174674">
        <w:rPr>
          <w:rFonts w:ascii="Times New Roman" w:hAnsi="Times New Roman" w:cs="Times New Roman"/>
          <w:sz w:val="24"/>
          <w:szCs w:val="24"/>
          <w:lang w:val="en-US"/>
        </w:rPr>
        <w:t xml:space="preserve">. </w:t>
      </w:r>
      <w:r w:rsidR="00C94385" w:rsidRPr="00174674">
        <w:rPr>
          <w:rFonts w:ascii="Times New Roman" w:hAnsi="Times New Roman" w:cs="Times New Roman"/>
          <w:sz w:val="24"/>
          <w:szCs w:val="24"/>
          <w:lang w:val="en-US"/>
        </w:rPr>
        <w:t>T</w:t>
      </w:r>
      <w:r w:rsidRPr="00174674">
        <w:rPr>
          <w:rFonts w:ascii="Times New Roman" w:hAnsi="Times New Roman" w:cs="Times New Roman"/>
          <w:sz w:val="24"/>
          <w:szCs w:val="24"/>
          <w:lang w:val="en-US"/>
        </w:rPr>
        <w:t xml:space="preserve">he law also allowed parties and candidates to fill their electoral funds </w:t>
      </w:r>
      <w:r w:rsidR="00B7352F" w:rsidRPr="00174674">
        <w:rPr>
          <w:rFonts w:ascii="Times New Roman" w:hAnsi="Times New Roman" w:cs="Times New Roman"/>
          <w:sz w:val="24"/>
          <w:szCs w:val="24"/>
          <w:lang w:val="en-US"/>
        </w:rPr>
        <w:t>with</w:t>
      </w:r>
      <w:r w:rsidRPr="00174674">
        <w:rPr>
          <w:rFonts w:ascii="Times New Roman" w:hAnsi="Times New Roman" w:cs="Times New Roman"/>
          <w:sz w:val="24"/>
          <w:szCs w:val="24"/>
          <w:lang w:val="en-US"/>
        </w:rPr>
        <w:t xml:space="preserve"> their ‘own funds’</w:t>
      </w:r>
      <w:r w:rsidR="004420D3" w:rsidRPr="00174674">
        <w:rPr>
          <w:rFonts w:ascii="Times New Roman" w:hAnsi="Times New Roman" w:cs="Times New Roman"/>
          <w:sz w:val="24"/>
          <w:szCs w:val="24"/>
          <w:lang w:val="en-US"/>
        </w:rPr>
        <w:t>. According to GRECO opinion, own funds could allow parties and candidates to circumvent exiting contribution limits, as</w:t>
      </w:r>
      <w:r w:rsidRPr="00174674">
        <w:rPr>
          <w:rFonts w:ascii="Times New Roman" w:hAnsi="Times New Roman" w:cs="Times New Roman"/>
          <w:sz w:val="24"/>
          <w:szCs w:val="24"/>
          <w:lang w:val="en-US"/>
        </w:rPr>
        <w:t xml:space="preserve"> sources of </w:t>
      </w:r>
      <w:r w:rsidR="004420D3" w:rsidRPr="00174674">
        <w:rPr>
          <w:rFonts w:ascii="Times New Roman" w:hAnsi="Times New Roman" w:cs="Times New Roman"/>
          <w:sz w:val="24"/>
          <w:szCs w:val="24"/>
          <w:lang w:val="en-US"/>
        </w:rPr>
        <w:t>own funds a</w:t>
      </w:r>
      <w:r w:rsidRPr="00174674">
        <w:rPr>
          <w:rFonts w:ascii="Times New Roman" w:hAnsi="Times New Roman" w:cs="Times New Roman"/>
          <w:sz w:val="24"/>
          <w:szCs w:val="24"/>
          <w:lang w:val="en-US"/>
        </w:rPr>
        <w:t xml:space="preserve">re not reported and </w:t>
      </w:r>
      <w:r w:rsidR="004420D3" w:rsidRPr="00174674">
        <w:rPr>
          <w:rFonts w:ascii="Times New Roman" w:hAnsi="Times New Roman" w:cs="Times New Roman"/>
          <w:sz w:val="24"/>
          <w:szCs w:val="24"/>
          <w:lang w:val="en-US"/>
        </w:rPr>
        <w:t xml:space="preserve">they </w:t>
      </w:r>
      <w:r w:rsidRPr="00174674">
        <w:rPr>
          <w:rFonts w:ascii="Times New Roman" w:hAnsi="Times New Roman" w:cs="Times New Roman"/>
          <w:sz w:val="24"/>
          <w:szCs w:val="24"/>
          <w:lang w:val="en-US"/>
        </w:rPr>
        <w:t xml:space="preserve">are not subject to contribution caps. </w:t>
      </w:r>
      <w:r w:rsidR="004420D3" w:rsidRPr="00174674">
        <w:rPr>
          <w:rFonts w:ascii="Times New Roman" w:hAnsi="Times New Roman" w:cs="Times New Roman"/>
          <w:sz w:val="24"/>
          <w:szCs w:val="24"/>
          <w:lang w:val="en-US"/>
        </w:rPr>
        <w:t>In case of parties, this may not be immediately problematic, as parties are now obliged to report every single donation they receive. Yet, candidates’ own funds could indeed allow them to hide their true donors, since candidates’ should disclose their sponsors only during electoral campaign period; therefore, they could present contributions of large donors made before the start of elections as their own funds.</w:t>
      </w:r>
    </w:p>
    <w:p w:rsidR="00A43788" w:rsidRDefault="00A43788" w:rsidP="00C2347F">
      <w:pPr>
        <w:spacing w:after="120" w:line="240" w:lineRule="auto"/>
        <w:ind w:firstLine="426"/>
        <w:jc w:val="both"/>
        <w:rPr>
          <w:rFonts w:ascii="Times New Roman" w:hAnsi="Times New Roman" w:cs="Times New Roman"/>
          <w:i/>
          <w:sz w:val="24"/>
          <w:szCs w:val="24"/>
          <w:lang w:val="en-US"/>
        </w:rPr>
      </w:pPr>
    </w:p>
    <w:p w:rsidR="00A43788" w:rsidRDefault="00A43788" w:rsidP="00C2347F">
      <w:pPr>
        <w:spacing w:after="120" w:line="240" w:lineRule="auto"/>
        <w:ind w:firstLine="426"/>
        <w:jc w:val="both"/>
        <w:rPr>
          <w:rFonts w:ascii="Times New Roman" w:hAnsi="Times New Roman" w:cs="Times New Roman"/>
          <w:i/>
          <w:sz w:val="24"/>
          <w:szCs w:val="24"/>
          <w:lang w:val="en-US"/>
        </w:rPr>
      </w:pPr>
    </w:p>
    <w:p w:rsidR="004420D3" w:rsidRPr="00174674" w:rsidRDefault="00806EBC" w:rsidP="00C2347F">
      <w:pPr>
        <w:spacing w:after="120" w:line="240" w:lineRule="auto"/>
        <w:ind w:firstLine="426"/>
        <w:jc w:val="both"/>
        <w:rPr>
          <w:rFonts w:ascii="Times New Roman" w:hAnsi="Times New Roman" w:cs="Times New Roman"/>
          <w:sz w:val="24"/>
          <w:szCs w:val="24"/>
          <w:lang w:val="en-US"/>
        </w:rPr>
      </w:pPr>
      <w:proofErr w:type="gramStart"/>
      <w:r w:rsidRPr="00174674">
        <w:rPr>
          <w:rFonts w:ascii="Times New Roman" w:hAnsi="Times New Roman" w:cs="Times New Roman"/>
          <w:i/>
          <w:sz w:val="24"/>
          <w:szCs w:val="24"/>
          <w:lang w:val="en-US"/>
        </w:rPr>
        <w:lastRenderedPageBreak/>
        <w:t>Public funding.</w:t>
      </w:r>
      <w:proofErr w:type="gramEnd"/>
      <w:r w:rsidRPr="00174674">
        <w:rPr>
          <w:rFonts w:ascii="Times New Roman" w:hAnsi="Times New Roman" w:cs="Times New Roman"/>
          <w:sz w:val="24"/>
          <w:szCs w:val="24"/>
          <w:lang w:val="en-US"/>
        </w:rPr>
        <w:t xml:space="preserve"> The law on political finance also introduced direct public subsidies to selected parties.</w:t>
      </w:r>
      <w:r w:rsidR="00156929" w:rsidRPr="00174674">
        <w:rPr>
          <w:rStyle w:val="FootnoteReference"/>
          <w:rFonts w:ascii="Times New Roman" w:hAnsi="Times New Roman" w:cs="Times New Roman"/>
          <w:sz w:val="24"/>
          <w:szCs w:val="24"/>
          <w:lang w:val="en-US"/>
        </w:rPr>
        <w:footnoteReference w:id="3"/>
      </w:r>
      <w:r w:rsidRPr="00174674">
        <w:rPr>
          <w:rFonts w:ascii="Times New Roman" w:hAnsi="Times New Roman" w:cs="Times New Roman"/>
          <w:sz w:val="24"/>
          <w:szCs w:val="24"/>
          <w:lang w:val="en-US"/>
        </w:rPr>
        <w:t xml:space="preserve"> </w:t>
      </w:r>
      <w:r w:rsidR="00156929" w:rsidRPr="00174674">
        <w:rPr>
          <w:rFonts w:ascii="Times New Roman" w:hAnsi="Times New Roman" w:cs="Times New Roman"/>
          <w:sz w:val="24"/>
          <w:szCs w:val="24"/>
          <w:lang w:val="en-US"/>
        </w:rPr>
        <w:t xml:space="preserve">All parties that gained at least 5 per cent on the latest 2014 parliamentary elections are entitled to receiving budget subsidies, while after the next </w:t>
      </w:r>
      <w:proofErr w:type="gramStart"/>
      <w:r w:rsidR="00156929" w:rsidRPr="00174674">
        <w:rPr>
          <w:rFonts w:ascii="Times New Roman" w:hAnsi="Times New Roman" w:cs="Times New Roman"/>
          <w:sz w:val="24"/>
          <w:szCs w:val="24"/>
          <w:lang w:val="en-US"/>
        </w:rPr>
        <w:t>elections,</w:t>
      </w:r>
      <w:proofErr w:type="gramEnd"/>
      <w:r w:rsidR="00156929" w:rsidRPr="00174674">
        <w:rPr>
          <w:rFonts w:ascii="Times New Roman" w:hAnsi="Times New Roman" w:cs="Times New Roman"/>
          <w:sz w:val="24"/>
          <w:szCs w:val="24"/>
          <w:lang w:val="en-US"/>
        </w:rPr>
        <w:t xml:space="preserve"> the threshold will be lowered to 2 per cent. Decision of the parliament to limit the number of parties receiving public funds until the next elections drew criticism from some experts and smaller political forces who argued that this would</w:t>
      </w:r>
      <w:r w:rsidR="008E00CE" w:rsidRPr="00174674">
        <w:rPr>
          <w:rFonts w:ascii="Times New Roman" w:hAnsi="Times New Roman" w:cs="Times New Roman"/>
          <w:sz w:val="24"/>
          <w:szCs w:val="24"/>
          <w:lang w:val="en-US"/>
        </w:rPr>
        <w:t xml:space="preserve"> not</w:t>
      </w:r>
      <w:r w:rsidR="00B7352F" w:rsidRPr="00174674">
        <w:rPr>
          <w:rFonts w:ascii="Times New Roman" w:hAnsi="Times New Roman" w:cs="Times New Roman"/>
          <w:sz w:val="24"/>
          <w:szCs w:val="24"/>
          <w:lang w:val="en-US"/>
        </w:rPr>
        <w:t xml:space="preserve"> help</w:t>
      </w:r>
      <w:r w:rsidR="008E00CE" w:rsidRPr="00174674">
        <w:rPr>
          <w:rFonts w:ascii="Times New Roman" w:hAnsi="Times New Roman" w:cs="Times New Roman"/>
          <w:sz w:val="24"/>
          <w:szCs w:val="24"/>
          <w:lang w:val="en-US"/>
        </w:rPr>
        <w:t xml:space="preserve"> level</w:t>
      </w:r>
      <w:r w:rsidR="00B7352F" w:rsidRPr="00174674">
        <w:rPr>
          <w:rFonts w:ascii="Times New Roman" w:hAnsi="Times New Roman" w:cs="Times New Roman"/>
          <w:sz w:val="24"/>
          <w:szCs w:val="24"/>
          <w:lang w:val="en-US"/>
        </w:rPr>
        <w:t>ling</w:t>
      </w:r>
      <w:r w:rsidR="00156929" w:rsidRPr="00174674">
        <w:rPr>
          <w:rFonts w:ascii="Times New Roman" w:hAnsi="Times New Roman" w:cs="Times New Roman"/>
          <w:sz w:val="24"/>
          <w:szCs w:val="24"/>
          <w:lang w:val="en-US"/>
        </w:rPr>
        <w:t xml:space="preserve"> the playing field</w:t>
      </w:r>
      <w:r w:rsidR="008E00CE" w:rsidRPr="00174674">
        <w:rPr>
          <w:rFonts w:ascii="Times New Roman" w:hAnsi="Times New Roman" w:cs="Times New Roman"/>
          <w:sz w:val="24"/>
          <w:szCs w:val="24"/>
          <w:lang w:val="en-US"/>
        </w:rPr>
        <w:t xml:space="preserve"> and could instead distort it</w:t>
      </w:r>
      <w:r w:rsidR="00156929" w:rsidRPr="00174674">
        <w:rPr>
          <w:rFonts w:ascii="Times New Roman" w:hAnsi="Times New Roman" w:cs="Times New Roman"/>
          <w:sz w:val="24"/>
          <w:szCs w:val="24"/>
          <w:lang w:val="en-US"/>
        </w:rPr>
        <w:t xml:space="preserve"> in favor of the parliamentary parties (Sydorchuk, 2017</w:t>
      </w:r>
      <w:r w:rsidR="00073E7B" w:rsidRPr="00174674">
        <w:rPr>
          <w:rFonts w:ascii="Times New Roman" w:hAnsi="Times New Roman" w:cs="Times New Roman"/>
          <w:sz w:val="24"/>
          <w:szCs w:val="24"/>
          <w:lang w:val="en-US"/>
        </w:rPr>
        <w:t>, p.</w:t>
      </w:r>
      <w:r w:rsidR="00FD5D44" w:rsidRPr="00174674">
        <w:rPr>
          <w:rFonts w:ascii="Times New Roman" w:hAnsi="Times New Roman" w:cs="Times New Roman"/>
          <w:sz w:val="24"/>
          <w:szCs w:val="24"/>
          <w:lang w:val="en-US"/>
        </w:rPr>
        <w:t xml:space="preserve"> </w:t>
      </w:r>
      <w:r w:rsidR="00073E7B" w:rsidRPr="00174674">
        <w:rPr>
          <w:rFonts w:ascii="Times New Roman" w:hAnsi="Times New Roman" w:cs="Times New Roman"/>
          <w:sz w:val="24"/>
          <w:szCs w:val="24"/>
          <w:lang w:val="en-US"/>
        </w:rPr>
        <w:t>40</w:t>
      </w:r>
      <w:r w:rsidR="00156929" w:rsidRPr="00174674">
        <w:rPr>
          <w:rFonts w:ascii="Times New Roman" w:hAnsi="Times New Roman" w:cs="Times New Roman"/>
          <w:sz w:val="24"/>
          <w:szCs w:val="24"/>
          <w:lang w:val="en-US"/>
        </w:rPr>
        <w:t>).</w:t>
      </w:r>
      <w:r w:rsidR="008C2AFB" w:rsidRPr="00174674">
        <w:rPr>
          <w:rFonts w:ascii="Times New Roman" w:hAnsi="Times New Roman" w:cs="Times New Roman"/>
          <w:sz w:val="24"/>
          <w:szCs w:val="24"/>
          <w:lang w:val="en-US"/>
        </w:rPr>
        <w:t xml:space="preserve"> Budget subsidies to parties are paid each quarter and are conditional on regular submission of party reports and absence of violation</w:t>
      </w:r>
      <w:r w:rsidR="00B7352F" w:rsidRPr="00174674">
        <w:rPr>
          <w:rFonts w:ascii="Times New Roman" w:hAnsi="Times New Roman" w:cs="Times New Roman"/>
          <w:sz w:val="24"/>
          <w:szCs w:val="24"/>
          <w:lang w:val="en-US"/>
        </w:rPr>
        <w:t>s</w:t>
      </w:r>
      <w:r w:rsidR="008C2AFB" w:rsidRPr="00174674">
        <w:rPr>
          <w:rFonts w:ascii="Times New Roman" w:hAnsi="Times New Roman" w:cs="Times New Roman"/>
          <w:sz w:val="24"/>
          <w:szCs w:val="24"/>
          <w:lang w:val="en-US"/>
        </w:rPr>
        <w:t xml:space="preserve"> of party finance rules. So far, five out of six parliamentary parties </w:t>
      </w:r>
      <w:r w:rsidR="00B7352F" w:rsidRPr="00174674">
        <w:rPr>
          <w:rFonts w:ascii="Times New Roman" w:hAnsi="Times New Roman" w:cs="Times New Roman"/>
          <w:sz w:val="24"/>
          <w:szCs w:val="24"/>
          <w:lang w:val="en-US"/>
        </w:rPr>
        <w:t>receive funds from the</w:t>
      </w:r>
      <w:r w:rsidR="008C2AFB" w:rsidRPr="00174674">
        <w:rPr>
          <w:rFonts w:ascii="Times New Roman" w:hAnsi="Times New Roman" w:cs="Times New Roman"/>
          <w:sz w:val="24"/>
          <w:szCs w:val="24"/>
          <w:lang w:val="en-US"/>
        </w:rPr>
        <w:t xml:space="preserve"> state</w:t>
      </w:r>
      <w:r w:rsidR="00B7352F" w:rsidRPr="00174674">
        <w:rPr>
          <w:rStyle w:val="FootnoteReference"/>
          <w:rFonts w:ascii="Times New Roman" w:hAnsi="Times New Roman" w:cs="Times New Roman"/>
          <w:sz w:val="24"/>
          <w:szCs w:val="24"/>
          <w:lang w:val="en-US"/>
        </w:rPr>
        <w:footnoteReference w:id="4"/>
      </w:r>
      <w:r w:rsidR="008C2AFB" w:rsidRPr="00174674">
        <w:rPr>
          <w:rFonts w:ascii="Times New Roman" w:hAnsi="Times New Roman" w:cs="Times New Roman"/>
          <w:sz w:val="24"/>
          <w:szCs w:val="24"/>
          <w:lang w:val="en-US"/>
        </w:rPr>
        <w:t>. In 2017, parties are entitled to receive UAH 442,400,000</w:t>
      </w:r>
      <w:r w:rsidR="00964122" w:rsidRPr="00174674">
        <w:rPr>
          <w:rFonts w:ascii="Times New Roman" w:hAnsi="Times New Roman" w:cs="Times New Roman"/>
          <w:sz w:val="24"/>
          <w:szCs w:val="24"/>
          <w:lang w:val="en-US"/>
        </w:rPr>
        <w:t xml:space="preserve"> (EUR 15,070,000)</w:t>
      </w:r>
      <w:r w:rsidR="008C2AFB" w:rsidRPr="00174674">
        <w:rPr>
          <w:rFonts w:ascii="Times New Roman" w:hAnsi="Times New Roman" w:cs="Times New Roman"/>
          <w:sz w:val="24"/>
          <w:szCs w:val="24"/>
          <w:lang w:val="en-US"/>
        </w:rPr>
        <w:t>, which includes UAH 44,240</w:t>
      </w:r>
      <w:r w:rsidR="00964122" w:rsidRPr="00174674">
        <w:rPr>
          <w:rFonts w:ascii="Times New Roman" w:hAnsi="Times New Roman" w:cs="Times New Roman"/>
          <w:sz w:val="24"/>
          <w:szCs w:val="24"/>
          <w:lang w:val="en-US"/>
        </w:rPr>
        <w:t>,000 (EUR 1,507,000)</w:t>
      </w:r>
      <w:r w:rsidR="008C2AFB" w:rsidRPr="00174674">
        <w:rPr>
          <w:rFonts w:ascii="Times New Roman" w:hAnsi="Times New Roman" w:cs="Times New Roman"/>
          <w:sz w:val="24"/>
          <w:szCs w:val="24"/>
          <w:lang w:val="en-US"/>
        </w:rPr>
        <w:t xml:space="preserve"> allocated </w:t>
      </w:r>
      <w:r w:rsidR="00AB4616" w:rsidRPr="00174674">
        <w:rPr>
          <w:rFonts w:ascii="Times New Roman" w:hAnsi="Times New Roman" w:cs="Times New Roman"/>
          <w:sz w:val="24"/>
          <w:szCs w:val="24"/>
          <w:lang w:val="en-US"/>
        </w:rPr>
        <w:t>for parties that has met gender quota of one third of representatives of different gender in their parliamentary factions. Only one party,</w:t>
      </w:r>
      <w:r w:rsidR="008C2AFB" w:rsidRPr="00174674">
        <w:rPr>
          <w:rFonts w:ascii="Times New Roman" w:hAnsi="Times New Roman" w:cs="Times New Roman"/>
          <w:sz w:val="24"/>
          <w:szCs w:val="24"/>
          <w:lang w:val="en-US"/>
        </w:rPr>
        <w:t xml:space="preserve"> </w:t>
      </w:r>
      <w:proofErr w:type="spellStart"/>
      <w:r w:rsidR="008C2AFB" w:rsidRPr="00174674">
        <w:rPr>
          <w:rFonts w:ascii="Times New Roman" w:hAnsi="Times New Roman" w:cs="Times New Roman"/>
          <w:i/>
          <w:sz w:val="24"/>
          <w:szCs w:val="24"/>
          <w:lang w:val="en-US"/>
        </w:rPr>
        <w:t>Samopomich</w:t>
      </w:r>
      <w:proofErr w:type="spellEnd"/>
      <w:r w:rsidR="008C2AFB" w:rsidRPr="00174674">
        <w:rPr>
          <w:rFonts w:ascii="Times New Roman" w:hAnsi="Times New Roman" w:cs="Times New Roman"/>
          <w:sz w:val="24"/>
          <w:szCs w:val="24"/>
          <w:lang w:val="en-US"/>
        </w:rPr>
        <w:t xml:space="preserve">, </w:t>
      </w:r>
      <w:r w:rsidR="00AB4616" w:rsidRPr="00174674">
        <w:rPr>
          <w:rFonts w:ascii="Times New Roman" w:hAnsi="Times New Roman" w:cs="Times New Roman"/>
          <w:sz w:val="24"/>
          <w:szCs w:val="24"/>
          <w:lang w:val="en-US"/>
        </w:rPr>
        <w:t>has qualified to obtain these funds</w:t>
      </w:r>
      <w:r w:rsidR="008C2AFB" w:rsidRPr="00174674">
        <w:rPr>
          <w:rFonts w:ascii="Times New Roman" w:hAnsi="Times New Roman" w:cs="Times New Roman"/>
          <w:sz w:val="24"/>
          <w:szCs w:val="24"/>
          <w:lang w:val="en-US"/>
        </w:rPr>
        <w:t>.</w:t>
      </w:r>
      <w:r w:rsidR="008C2AFB" w:rsidRPr="00174674">
        <w:rPr>
          <w:rStyle w:val="FootnoteReference"/>
          <w:rFonts w:ascii="Times New Roman" w:hAnsi="Times New Roman" w:cs="Times New Roman"/>
          <w:sz w:val="24"/>
          <w:szCs w:val="24"/>
          <w:lang w:val="en-US"/>
        </w:rPr>
        <w:footnoteReference w:id="5"/>
      </w:r>
    </w:p>
    <w:p w:rsidR="008C2AFB" w:rsidRPr="00174674" w:rsidRDefault="008C2AFB" w:rsidP="00C2347F">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Apart from</w:t>
      </w:r>
      <w:r w:rsidR="00964122" w:rsidRPr="00174674">
        <w:rPr>
          <w:rFonts w:ascii="Times New Roman" w:hAnsi="Times New Roman" w:cs="Times New Roman"/>
          <w:sz w:val="24"/>
          <w:szCs w:val="24"/>
          <w:lang w:val="en-US"/>
        </w:rPr>
        <w:t xml:space="preserve"> regular public funding, all parties that have crossed 5 per cent threshold on parliamentary elections, should get reimbursement of their electoral expenses </w:t>
      </w:r>
      <w:r w:rsidR="00B26EF4" w:rsidRPr="00174674">
        <w:rPr>
          <w:rFonts w:ascii="Times New Roman" w:hAnsi="Times New Roman" w:cs="Times New Roman"/>
          <w:sz w:val="24"/>
          <w:szCs w:val="24"/>
          <w:lang w:val="en-US"/>
        </w:rPr>
        <w:t>in amount no</w:t>
      </w:r>
      <w:r w:rsidR="00964122" w:rsidRPr="00174674">
        <w:rPr>
          <w:rFonts w:ascii="Times New Roman" w:hAnsi="Times New Roman" w:cs="Times New Roman"/>
          <w:sz w:val="24"/>
          <w:szCs w:val="24"/>
          <w:lang w:val="en-US"/>
        </w:rPr>
        <w:t xml:space="preserve">t exceeding the maximum </w:t>
      </w:r>
      <w:r w:rsidR="00B26EF4" w:rsidRPr="00174674">
        <w:rPr>
          <w:rFonts w:ascii="Times New Roman" w:hAnsi="Times New Roman" w:cs="Times New Roman"/>
          <w:sz w:val="24"/>
          <w:szCs w:val="24"/>
          <w:lang w:val="en-US"/>
        </w:rPr>
        <w:t xml:space="preserve">electoral </w:t>
      </w:r>
      <w:r w:rsidR="00964122" w:rsidRPr="00174674">
        <w:rPr>
          <w:rFonts w:ascii="Times New Roman" w:hAnsi="Times New Roman" w:cs="Times New Roman"/>
          <w:sz w:val="24"/>
          <w:szCs w:val="24"/>
          <w:lang w:val="en-US"/>
        </w:rPr>
        <w:t xml:space="preserve">spending limit. This provision will enter into force only after </w:t>
      </w:r>
      <w:r w:rsidR="007D11DD" w:rsidRPr="00174674">
        <w:rPr>
          <w:rFonts w:ascii="Times New Roman" w:hAnsi="Times New Roman" w:cs="Times New Roman"/>
          <w:sz w:val="24"/>
          <w:szCs w:val="24"/>
          <w:lang w:val="en-US"/>
        </w:rPr>
        <w:t xml:space="preserve">the next general elections. </w:t>
      </w:r>
      <w:r w:rsidR="00547AED" w:rsidRPr="00174674">
        <w:rPr>
          <w:rFonts w:ascii="Times New Roman" w:hAnsi="Times New Roman" w:cs="Times New Roman"/>
          <w:sz w:val="24"/>
          <w:szCs w:val="24"/>
          <w:lang w:val="en-US"/>
        </w:rPr>
        <w:t>The lawmakers, however, did not address one problematic aspect of the electoral reimbursement pointed out by OSCE/ODIHR</w:t>
      </w:r>
      <w:r w:rsidR="00D7096F" w:rsidRPr="00174674">
        <w:rPr>
          <w:rFonts w:ascii="Times New Roman" w:hAnsi="Times New Roman" w:cs="Times New Roman"/>
          <w:sz w:val="24"/>
          <w:szCs w:val="24"/>
          <w:lang w:val="en-US"/>
        </w:rPr>
        <w:t xml:space="preserve">. Specifically, tying the state reimbursement to the maximum amount of money allowed to be spent during </w:t>
      </w:r>
      <w:r w:rsidR="00547AED" w:rsidRPr="00174674">
        <w:rPr>
          <w:rFonts w:ascii="Times New Roman" w:hAnsi="Times New Roman" w:cs="Times New Roman"/>
          <w:sz w:val="24"/>
          <w:szCs w:val="24"/>
          <w:lang w:val="en-US"/>
        </w:rPr>
        <w:t>e</w:t>
      </w:r>
      <w:r w:rsidR="00D7096F" w:rsidRPr="00174674">
        <w:rPr>
          <w:rFonts w:ascii="Times New Roman" w:hAnsi="Times New Roman" w:cs="Times New Roman"/>
          <w:sz w:val="24"/>
          <w:szCs w:val="24"/>
          <w:lang w:val="en-US"/>
        </w:rPr>
        <w:t>lections could prompt parties to inflate their electoral expenses and put excessive burden on the state budget</w:t>
      </w:r>
      <w:r w:rsidR="00547AED" w:rsidRPr="00174674">
        <w:rPr>
          <w:rFonts w:ascii="Times New Roman" w:hAnsi="Times New Roman" w:cs="Times New Roman"/>
          <w:sz w:val="24"/>
          <w:szCs w:val="24"/>
          <w:lang w:val="en-US"/>
        </w:rPr>
        <w:t>. If election were held this year,</w:t>
      </w:r>
      <w:r w:rsidR="00D7096F" w:rsidRPr="00174674">
        <w:rPr>
          <w:rFonts w:ascii="Times New Roman" w:hAnsi="Times New Roman" w:cs="Times New Roman"/>
          <w:sz w:val="24"/>
          <w:szCs w:val="24"/>
          <w:lang w:val="en-US"/>
        </w:rPr>
        <w:t xml:space="preserve"> each party could claim for reimbursement of up to UAH 288,000,000 (EUR 9,800,000).</w:t>
      </w:r>
    </w:p>
    <w:p w:rsidR="008F6211" w:rsidRPr="00174674" w:rsidRDefault="00E94675"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The law did not introduce significant changes to indirect forms of public funding. As before, the state provides several types of indirect support to parties and candidates</w:t>
      </w:r>
      <w:r w:rsidR="00074154" w:rsidRPr="00174674">
        <w:rPr>
          <w:rFonts w:ascii="Times New Roman" w:hAnsi="Times New Roman" w:cs="Times New Roman"/>
          <w:sz w:val="24"/>
          <w:szCs w:val="24"/>
          <w:lang w:val="en-US"/>
        </w:rPr>
        <w:t>, such as</w:t>
      </w:r>
      <w:r w:rsidRPr="00174674">
        <w:rPr>
          <w:rFonts w:ascii="Times New Roman" w:hAnsi="Times New Roman" w:cs="Times New Roman"/>
          <w:sz w:val="24"/>
          <w:szCs w:val="24"/>
          <w:lang w:val="en-US"/>
        </w:rPr>
        <w:t xml:space="preserve"> </w:t>
      </w:r>
      <w:r w:rsidR="00435281" w:rsidRPr="00174674">
        <w:rPr>
          <w:rFonts w:ascii="Times New Roman" w:hAnsi="Times New Roman" w:cs="Times New Roman"/>
          <w:sz w:val="24"/>
          <w:szCs w:val="24"/>
          <w:lang w:val="en-US"/>
        </w:rPr>
        <w:t>tax deductibility o</w:t>
      </w:r>
      <w:r w:rsidR="00472975" w:rsidRPr="00174674">
        <w:rPr>
          <w:rFonts w:ascii="Times New Roman" w:hAnsi="Times New Roman" w:cs="Times New Roman"/>
          <w:sz w:val="24"/>
          <w:szCs w:val="24"/>
          <w:lang w:val="en-US"/>
        </w:rPr>
        <w:t>f donations made by individuals</w:t>
      </w:r>
      <w:r w:rsidR="00435281" w:rsidRPr="00174674">
        <w:rPr>
          <w:rFonts w:ascii="Times New Roman" w:hAnsi="Times New Roman" w:cs="Times New Roman"/>
          <w:sz w:val="24"/>
          <w:szCs w:val="24"/>
          <w:lang w:val="en-US"/>
        </w:rPr>
        <w:t xml:space="preserve"> and provision of free airtime for part</w:t>
      </w:r>
      <w:r w:rsidR="00235EFB" w:rsidRPr="00174674">
        <w:rPr>
          <w:rFonts w:ascii="Times New Roman" w:hAnsi="Times New Roman" w:cs="Times New Roman"/>
          <w:sz w:val="24"/>
          <w:szCs w:val="24"/>
          <w:lang w:val="en-US"/>
        </w:rPr>
        <w:t>ies</w:t>
      </w:r>
      <w:r w:rsidR="00435281" w:rsidRPr="00174674">
        <w:rPr>
          <w:rFonts w:ascii="Times New Roman" w:hAnsi="Times New Roman" w:cs="Times New Roman"/>
          <w:sz w:val="24"/>
          <w:szCs w:val="24"/>
          <w:lang w:val="en-US"/>
        </w:rPr>
        <w:t xml:space="preserve"> and candidates. On the other hand, use of administrative resource for party or electoral purposes is explicitly prohibited</w:t>
      </w:r>
      <w:r w:rsidR="00435281" w:rsidRPr="00174674">
        <w:rPr>
          <w:rFonts w:ascii="Times New Roman" w:hAnsi="Times New Roman" w:cs="Times New Roman"/>
          <w:sz w:val="24"/>
          <w:szCs w:val="24"/>
          <w:lang w:val="uk-UA"/>
        </w:rPr>
        <w:t xml:space="preserve"> </w:t>
      </w:r>
      <w:r w:rsidR="00435281" w:rsidRPr="00174674">
        <w:rPr>
          <w:rFonts w:ascii="Times New Roman" w:hAnsi="Times New Roman" w:cs="Times New Roman"/>
          <w:sz w:val="24"/>
          <w:szCs w:val="24"/>
          <w:lang w:val="en-US"/>
        </w:rPr>
        <w:t>and is subject to criminal sanctions. Enforceability of the latter provisions, however, remains weak, as law enforcement bodies usually ignore serious electoral violations</w:t>
      </w:r>
      <w:r w:rsidR="005829E1" w:rsidRPr="00174674">
        <w:rPr>
          <w:rFonts w:ascii="Times New Roman" w:hAnsi="Times New Roman" w:cs="Times New Roman"/>
          <w:sz w:val="24"/>
          <w:szCs w:val="24"/>
          <w:lang w:val="uk-UA"/>
        </w:rPr>
        <w:t xml:space="preserve"> (</w:t>
      </w:r>
      <w:r w:rsidR="005829E1" w:rsidRPr="00174674">
        <w:rPr>
          <w:rFonts w:ascii="Times New Roman" w:hAnsi="Times New Roman" w:cs="Times New Roman"/>
          <w:sz w:val="24"/>
          <w:szCs w:val="24"/>
          <w:lang w:val="en-US"/>
        </w:rPr>
        <w:t>OPORA, 2015)</w:t>
      </w:r>
      <w:r w:rsidR="00435281" w:rsidRPr="00174674">
        <w:rPr>
          <w:rFonts w:ascii="Times New Roman" w:hAnsi="Times New Roman" w:cs="Times New Roman"/>
          <w:sz w:val="24"/>
          <w:szCs w:val="24"/>
          <w:lang w:val="en-US"/>
        </w:rPr>
        <w:t>. As recent elections have shown, use of administrative resource in Ukraine depends much more on the nature of political regime and willingness of ruling elites to abuse state resources than on existing legal regulations. For instance, while the 2012 parliamentary elections were characterized by heavy abuse of administrative resource by then-</w:t>
      </w:r>
      <w:r w:rsidR="005829E1" w:rsidRPr="00174674">
        <w:rPr>
          <w:rFonts w:ascii="Times New Roman" w:hAnsi="Times New Roman" w:cs="Times New Roman"/>
          <w:sz w:val="24"/>
          <w:szCs w:val="24"/>
          <w:lang w:val="en-US"/>
        </w:rPr>
        <w:t>dominant Party of R</w:t>
      </w:r>
      <w:r w:rsidR="00435281" w:rsidRPr="00174674">
        <w:rPr>
          <w:rFonts w:ascii="Times New Roman" w:hAnsi="Times New Roman" w:cs="Times New Roman"/>
          <w:sz w:val="24"/>
          <w:szCs w:val="24"/>
          <w:lang w:val="en-US"/>
        </w:rPr>
        <w:t>egions</w:t>
      </w:r>
      <w:r w:rsidR="005829E1" w:rsidRPr="00174674">
        <w:rPr>
          <w:rFonts w:ascii="Times New Roman" w:hAnsi="Times New Roman" w:cs="Times New Roman"/>
          <w:sz w:val="24"/>
          <w:szCs w:val="24"/>
          <w:lang w:val="en-US"/>
        </w:rPr>
        <w:t xml:space="preserve"> (OSCE, 2013)</w:t>
      </w:r>
      <w:r w:rsidR="00435281" w:rsidRPr="00174674">
        <w:rPr>
          <w:rFonts w:ascii="Times New Roman" w:hAnsi="Times New Roman" w:cs="Times New Roman"/>
          <w:sz w:val="24"/>
          <w:szCs w:val="24"/>
          <w:lang w:val="en-US"/>
        </w:rPr>
        <w:t xml:space="preserve">, similar practices were </w:t>
      </w:r>
      <w:r w:rsidR="005829E1" w:rsidRPr="00174674">
        <w:rPr>
          <w:rFonts w:ascii="Times New Roman" w:hAnsi="Times New Roman" w:cs="Times New Roman"/>
          <w:sz w:val="24"/>
          <w:szCs w:val="24"/>
          <w:lang w:val="en-US"/>
        </w:rPr>
        <w:t xml:space="preserve">almost absent </w:t>
      </w:r>
      <w:r w:rsidR="00435281" w:rsidRPr="00174674">
        <w:rPr>
          <w:rFonts w:ascii="Times New Roman" w:hAnsi="Times New Roman" w:cs="Times New Roman"/>
          <w:sz w:val="24"/>
          <w:szCs w:val="24"/>
          <w:lang w:val="en-US"/>
        </w:rPr>
        <w:t xml:space="preserve">during the 2014 parliamentary elections held after the </w:t>
      </w:r>
      <w:r w:rsidR="005829E1" w:rsidRPr="00174674">
        <w:rPr>
          <w:rFonts w:ascii="Times New Roman" w:hAnsi="Times New Roman" w:cs="Times New Roman"/>
          <w:sz w:val="24"/>
          <w:szCs w:val="24"/>
          <w:lang w:val="en-US"/>
        </w:rPr>
        <w:t xml:space="preserve">fall of Viktor </w:t>
      </w:r>
      <w:proofErr w:type="spellStart"/>
      <w:r w:rsidR="005829E1" w:rsidRPr="00174674">
        <w:rPr>
          <w:rFonts w:ascii="Times New Roman" w:hAnsi="Times New Roman" w:cs="Times New Roman"/>
          <w:sz w:val="24"/>
          <w:szCs w:val="24"/>
          <w:lang w:val="en-US"/>
        </w:rPr>
        <w:t>Yanukovych</w:t>
      </w:r>
      <w:proofErr w:type="spellEnd"/>
      <w:r w:rsidR="005829E1" w:rsidRPr="00174674">
        <w:rPr>
          <w:rFonts w:ascii="Times New Roman" w:hAnsi="Times New Roman" w:cs="Times New Roman"/>
          <w:sz w:val="24"/>
          <w:szCs w:val="24"/>
          <w:lang w:val="en-US"/>
        </w:rPr>
        <w:t xml:space="preserve"> regime (OSCE, 2014)</w:t>
      </w:r>
      <w:r w:rsidR="00435281" w:rsidRPr="00174674">
        <w:rPr>
          <w:rFonts w:ascii="Times New Roman" w:hAnsi="Times New Roman" w:cs="Times New Roman"/>
          <w:sz w:val="24"/>
          <w:szCs w:val="24"/>
          <w:lang w:val="en-US"/>
        </w:rPr>
        <w:t>.</w:t>
      </w:r>
    </w:p>
    <w:p w:rsidR="00613370" w:rsidRPr="00174674" w:rsidRDefault="00613370" w:rsidP="00C03A08">
      <w:pPr>
        <w:spacing w:after="120" w:line="240" w:lineRule="auto"/>
        <w:ind w:firstLine="426"/>
        <w:jc w:val="both"/>
        <w:rPr>
          <w:rFonts w:ascii="Times New Roman" w:hAnsi="Times New Roman" w:cs="Times New Roman"/>
          <w:sz w:val="24"/>
          <w:szCs w:val="24"/>
          <w:lang w:val="en-US"/>
        </w:rPr>
      </w:pPr>
    </w:p>
    <w:p w:rsidR="006A4972" w:rsidRPr="00174674" w:rsidRDefault="006A4972" w:rsidP="00C03A08">
      <w:pPr>
        <w:spacing w:after="120" w:line="240" w:lineRule="auto"/>
        <w:ind w:firstLine="426"/>
        <w:jc w:val="both"/>
        <w:rPr>
          <w:rFonts w:ascii="Times New Roman" w:hAnsi="Times New Roman" w:cs="Times New Roman"/>
          <w:b/>
          <w:i/>
          <w:sz w:val="24"/>
          <w:szCs w:val="24"/>
          <w:lang w:val="en-US"/>
        </w:rPr>
      </w:pPr>
      <w:r w:rsidRPr="00174674">
        <w:rPr>
          <w:rFonts w:ascii="Times New Roman" w:hAnsi="Times New Roman" w:cs="Times New Roman"/>
          <w:b/>
          <w:i/>
          <w:sz w:val="24"/>
          <w:szCs w:val="24"/>
          <w:lang w:val="en-US"/>
        </w:rPr>
        <w:t>Party and candidate spending</w:t>
      </w:r>
    </w:p>
    <w:p w:rsidR="00112E52" w:rsidRPr="00174674" w:rsidRDefault="00112E52"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The new law did not bring significant changes to regulation of party spending. As before, limits on campaign expenses exist only on parliamentary election: parties and candidates are obliged to channel all</w:t>
      </w:r>
      <w:r w:rsidR="00B72420" w:rsidRPr="00174674">
        <w:rPr>
          <w:rFonts w:ascii="Times New Roman" w:hAnsi="Times New Roman" w:cs="Times New Roman"/>
          <w:sz w:val="24"/>
          <w:szCs w:val="24"/>
          <w:lang w:val="en-US"/>
        </w:rPr>
        <w:t xml:space="preserve"> of</w:t>
      </w:r>
      <w:r w:rsidRPr="00174674">
        <w:rPr>
          <w:rFonts w:ascii="Times New Roman" w:hAnsi="Times New Roman" w:cs="Times New Roman"/>
          <w:sz w:val="24"/>
          <w:szCs w:val="24"/>
          <w:lang w:val="en-US"/>
        </w:rPr>
        <w:t xml:space="preserve"> their electoral expenses through electoral funds that cannot exceed 90,000 minimal salaries (EUR 9,800,000) for parties and 4,000 minimal salaries for individual candidates (EUR 436,000). No such limits exist for candidates and parties during presidential or local elections.</w:t>
      </w:r>
      <w:r w:rsidR="00B72420" w:rsidRPr="00174674">
        <w:rPr>
          <w:rFonts w:ascii="Times New Roman" w:hAnsi="Times New Roman" w:cs="Times New Roman"/>
          <w:sz w:val="24"/>
          <w:szCs w:val="24"/>
          <w:lang w:val="en-US"/>
        </w:rPr>
        <w:t xml:space="preserve"> Unwillingness of Ukrainian lawmakers to establish campaign spending limits for all election types was motivated by their skepticism towards existing limits</w:t>
      </w:r>
      <w:r w:rsidR="005177EF" w:rsidRPr="00174674">
        <w:rPr>
          <w:rFonts w:ascii="Times New Roman" w:hAnsi="Times New Roman" w:cs="Times New Roman"/>
          <w:sz w:val="24"/>
          <w:szCs w:val="24"/>
          <w:lang w:val="en-US"/>
        </w:rPr>
        <w:t xml:space="preserve"> that are frequently violated</w:t>
      </w:r>
      <w:r w:rsidR="00B72420" w:rsidRPr="00174674">
        <w:rPr>
          <w:rFonts w:ascii="Times New Roman" w:hAnsi="Times New Roman" w:cs="Times New Roman"/>
          <w:sz w:val="24"/>
          <w:szCs w:val="24"/>
          <w:lang w:val="en-US"/>
        </w:rPr>
        <w:t>. Yet, lack of limits on presidential and subnational elections runs contrary to the recommendation</w:t>
      </w:r>
      <w:r w:rsidR="005177EF" w:rsidRPr="00174674">
        <w:rPr>
          <w:rFonts w:ascii="Times New Roman" w:hAnsi="Times New Roman" w:cs="Times New Roman"/>
          <w:sz w:val="24"/>
          <w:szCs w:val="24"/>
          <w:lang w:val="en-US"/>
        </w:rPr>
        <w:t>s</w:t>
      </w:r>
      <w:r w:rsidR="00B72420" w:rsidRPr="00174674">
        <w:rPr>
          <w:rFonts w:ascii="Times New Roman" w:hAnsi="Times New Roman" w:cs="Times New Roman"/>
          <w:sz w:val="24"/>
          <w:szCs w:val="24"/>
          <w:lang w:val="en-US"/>
        </w:rPr>
        <w:t xml:space="preserve"> of OSCE/ODIHR.</w:t>
      </w:r>
    </w:p>
    <w:p w:rsidR="00B72420" w:rsidRPr="00174674" w:rsidRDefault="00B72420"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Circumvention of spending limits during parliamentary elections </w:t>
      </w:r>
      <w:proofErr w:type="gramStart"/>
      <w:r w:rsidRPr="00174674">
        <w:rPr>
          <w:rFonts w:ascii="Times New Roman" w:hAnsi="Times New Roman" w:cs="Times New Roman"/>
          <w:sz w:val="24"/>
          <w:szCs w:val="24"/>
          <w:lang w:val="en-US"/>
        </w:rPr>
        <w:t>have</w:t>
      </w:r>
      <w:proofErr w:type="gramEnd"/>
      <w:r w:rsidRPr="00174674">
        <w:rPr>
          <w:rFonts w:ascii="Times New Roman" w:hAnsi="Times New Roman" w:cs="Times New Roman"/>
          <w:sz w:val="24"/>
          <w:szCs w:val="24"/>
          <w:lang w:val="en-US"/>
        </w:rPr>
        <w:t xml:space="preserve"> been made possible by widespread use of third parties for financing </w:t>
      </w:r>
      <w:r w:rsidR="005177EF" w:rsidRPr="00174674">
        <w:rPr>
          <w:rFonts w:ascii="Times New Roman" w:hAnsi="Times New Roman" w:cs="Times New Roman"/>
          <w:sz w:val="24"/>
          <w:szCs w:val="24"/>
          <w:lang w:val="en-US"/>
        </w:rPr>
        <w:t>electoral campaigns</w:t>
      </w:r>
      <w:r w:rsidRPr="00174674">
        <w:rPr>
          <w:rFonts w:ascii="Times New Roman" w:hAnsi="Times New Roman" w:cs="Times New Roman"/>
          <w:sz w:val="24"/>
          <w:szCs w:val="24"/>
          <w:lang w:val="en-US"/>
        </w:rPr>
        <w:t xml:space="preserve">. Although </w:t>
      </w:r>
      <w:r w:rsidR="001A544F"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 xml:space="preserve">Ukrainian law </w:t>
      </w:r>
      <w:r w:rsidR="005177EF" w:rsidRPr="00174674">
        <w:rPr>
          <w:rFonts w:ascii="Times New Roman" w:hAnsi="Times New Roman" w:cs="Times New Roman"/>
          <w:sz w:val="24"/>
          <w:szCs w:val="24"/>
          <w:lang w:val="en-US"/>
        </w:rPr>
        <w:t>allows</w:t>
      </w:r>
      <w:r w:rsidRPr="00174674">
        <w:rPr>
          <w:rFonts w:ascii="Times New Roman" w:hAnsi="Times New Roman" w:cs="Times New Roman"/>
          <w:sz w:val="24"/>
          <w:szCs w:val="24"/>
          <w:lang w:val="en-US"/>
        </w:rPr>
        <w:t xml:space="preserve"> </w:t>
      </w:r>
      <w:proofErr w:type="gramStart"/>
      <w:r w:rsidRPr="00174674">
        <w:rPr>
          <w:rFonts w:ascii="Times New Roman" w:hAnsi="Times New Roman" w:cs="Times New Roman"/>
          <w:sz w:val="24"/>
          <w:szCs w:val="24"/>
          <w:lang w:val="en-US"/>
        </w:rPr>
        <w:t>to finance</w:t>
      </w:r>
      <w:proofErr w:type="gramEnd"/>
      <w:r w:rsidRPr="00174674">
        <w:rPr>
          <w:rFonts w:ascii="Times New Roman" w:hAnsi="Times New Roman" w:cs="Times New Roman"/>
          <w:sz w:val="24"/>
          <w:szCs w:val="24"/>
          <w:lang w:val="en-US"/>
        </w:rPr>
        <w:t xml:space="preserve"> electoral campaigns </w:t>
      </w:r>
      <w:r w:rsidR="005177EF" w:rsidRPr="00174674">
        <w:rPr>
          <w:rFonts w:ascii="Times New Roman" w:hAnsi="Times New Roman" w:cs="Times New Roman"/>
          <w:sz w:val="24"/>
          <w:szCs w:val="24"/>
          <w:lang w:val="en-US"/>
        </w:rPr>
        <w:t>only from</w:t>
      </w:r>
      <w:r w:rsidRPr="00174674">
        <w:rPr>
          <w:rFonts w:ascii="Times New Roman" w:hAnsi="Times New Roman" w:cs="Times New Roman"/>
          <w:sz w:val="24"/>
          <w:szCs w:val="24"/>
          <w:lang w:val="en-US"/>
        </w:rPr>
        <w:t xml:space="preserve"> electoral funds, possibility of third party financing of campaigns are not explicitly mentioned in the law and no sanctions for using third parties for this purpose are in place. </w:t>
      </w:r>
      <w:r w:rsidR="002E74AB" w:rsidRPr="00174674">
        <w:rPr>
          <w:rFonts w:ascii="Times New Roman" w:hAnsi="Times New Roman" w:cs="Times New Roman"/>
          <w:sz w:val="24"/>
          <w:szCs w:val="24"/>
          <w:lang w:val="en-US"/>
        </w:rPr>
        <w:t>Lack of regulation of third party expenses was explicitly mentioned as a downside of the Ukrainian law on political finance in 2015 GRECO report. As a result</w:t>
      </w:r>
      <w:r w:rsidRPr="00174674">
        <w:rPr>
          <w:rFonts w:ascii="Times New Roman" w:hAnsi="Times New Roman" w:cs="Times New Roman"/>
          <w:sz w:val="24"/>
          <w:szCs w:val="24"/>
          <w:lang w:val="en-US"/>
        </w:rPr>
        <w:t>, parties and candidates</w:t>
      </w:r>
      <w:r w:rsidR="002E74AB" w:rsidRPr="00174674">
        <w:rPr>
          <w:rFonts w:ascii="Times New Roman" w:hAnsi="Times New Roman" w:cs="Times New Roman"/>
          <w:sz w:val="24"/>
          <w:szCs w:val="24"/>
          <w:lang w:val="en-US"/>
        </w:rPr>
        <w:t xml:space="preserve"> have</w:t>
      </w:r>
      <w:r w:rsidRPr="00174674">
        <w:rPr>
          <w:rFonts w:ascii="Times New Roman" w:hAnsi="Times New Roman" w:cs="Times New Roman"/>
          <w:sz w:val="24"/>
          <w:szCs w:val="24"/>
          <w:lang w:val="en-US"/>
        </w:rPr>
        <w:t xml:space="preserve"> frequently finance</w:t>
      </w:r>
      <w:r w:rsidR="002E74AB" w:rsidRPr="00174674">
        <w:rPr>
          <w:rFonts w:ascii="Times New Roman" w:hAnsi="Times New Roman" w:cs="Times New Roman"/>
          <w:sz w:val="24"/>
          <w:szCs w:val="24"/>
          <w:lang w:val="en-US"/>
        </w:rPr>
        <w:t>d</w:t>
      </w:r>
      <w:r w:rsidRPr="00174674">
        <w:rPr>
          <w:rFonts w:ascii="Times New Roman" w:hAnsi="Times New Roman" w:cs="Times New Roman"/>
          <w:sz w:val="24"/>
          <w:szCs w:val="24"/>
          <w:lang w:val="en-US"/>
        </w:rPr>
        <w:t xml:space="preserve"> their campaigns through related NGOs and charitable organizations, thus de facto exceeding spending caps. </w:t>
      </w:r>
      <w:r w:rsidR="002E74AB" w:rsidRPr="00174674">
        <w:rPr>
          <w:rFonts w:ascii="Times New Roman" w:hAnsi="Times New Roman" w:cs="Times New Roman"/>
          <w:sz w:val="24"/>
          <w:szCs w:val="24"/>
          <w:lang w:val="en-US"/>
        </w:rPr>
        <w:t xml:space="preserve">For </w:t>
      </w:r>
      <w:r w:rsidR="002E74AB" w:rsidRPr="00174674">
        <w:rPr>
          <w:rFonts w:ascii="Times New Roman" w:hAnsi="Times New Roman" w:cs="Times New Roman"/>
          <w:sz w:val="24"/>
          <w:szCs w:val="24"/>
          <w:lang w:val="en-US"/>
        </w:rPr>
        <w:lastRenderedPageBreak/>
        <w:t xml:space="preserve">instance, </w:t>
      </w:r>
      <w:r w:rsidRPr="00174674">
        <w:rPr>
          <w:rFonts w:ascii="Times New Roman" w:hAnsi="Times New Roman" w:cs="Times New Roman"/>
          <w:sz w:val="24"/>
          <w:szCs w:val="24"/>
          <w:lang w:val="en-US"/>
        </w:rPr>
        <w:t xml:space="preserve">according to different expert estimates, </w:t>
      </w:r>
      <w:r w:rsidR="002E74AB" w:rsidRPr="00174674">
        <w:rPr>
          <w:rFonts w:ascii="Times New Roman" w:hAnsi="Times New Roman" w:cs="Times New Roman"/>
          <w:sz w:val="24"/>
          <w:szCs w:val="24"/>
          <w:lang w:val="en-US"/>
        </w:rPr>
        <w:t xml:space="preserve">during 2012 elections, </w:t>
      </w:r>
      <w:r w:rsidRPr="00174674">
        <w:rPr>
          <w:rFonts w:ascii="Times New Roman" w:hAnsi="Times New Roman" w:cs="Times New Roman"/>
          <w:sz w:val="24"/>
          <w:szCs w:val="24"/>
          <w:lang w:val="en-US"/>
        </w:rPr>
        <w:t>all parties and candidates spent from USD 850 million to USD 2.5 billion (IDEA, 2014</w:t>
      </w:r>
      <w:r w:rsidR="00073E7B" w:rsidRPr="00174674">
        <w:rPr>
          <w:rFonts w:ascii="Times New Roman" w:hAnsi="Times New Roman" w:cs="Times New Roman"/>
          <w:sz w:val="24"/>
          <w:szCs w:val="24"/>
          <w:lang w:val="en-US"/>
        </w:rPr>
        <w:t>, p. 188</w:t>
      </w:r>
      <w:r w:rsidRPr="00174674">
        <w:rPr>
          <w:rFonts w:ascii="Times New Roman" w:hAnsi="Times New Roman" w:cs="Times New Roman"/>
          <w:sz w:val="24"/>
          <w:szCs w:val="24"/>
          <w:lang w:val="en-US"/>
        </w:rPr>
        <w:t>).</w:t>
      </w:r>
    </w:p>
    <w:p w:rsidR="002E74AB" w:rsidRPr="00174674" w:rsidRDefault="002E74AB"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Absence of </w:t>
      </w:r>
      <w:r w:rsidR="001A544F" w:rsidRPr="00174674">
        <w:rPr>
          <w:rFonts w:ascii="Times New Roman" w:hAnsi="Times New Roman" w:cs="Times New Roman"/>
          <w:sz w:val="24"/>
          <w:szCs w:val="24"/>
          <w:lang w:val="en-US"/>
        </w:rPr>
        <w:t>limits</w:t>
      </w:r>
      <w:r w:rsidRPr="00174674">
        <w:rPr>
          <w:rFonts w:ascii="Times New Roman" w:hAnsi="Times New Roman" w:cs="Times New Roman"/>
          <w:sz w:val="24"/>
          <w:szCs w:val="24"/>
          <w:lang w:val="en-US"/>
        </w:rPr>
        <w:t xml:space="preserve"> </w:t>
      </w:r>
      <w:r w:rsidR="001A544F" w:rsidRPr="00174674">
        <w:rPr>
          <w:rFonts w:ascii="Times New Roman" w:hAnsi="Times New Roman" w:cs="Times New Roman"/>
          <w:sz w:val="24"/>
          <w:szCs w:val="24"/>
          <w:lang w:val="en-US"/>
        </w:rPr>
        <w:t>on</w:t>
      </w:r>
      <w:r w:rsidRPr="00174674">
        <w:rPr>
          <w:rFonts w:ascii="Times New Roman" w:hAnsi="Times New Roman" w:cs="Times New Roman"/>
          <w:sz w:val="24"/>
          <w:szCs w:val="24"/>
          <w:lang w:val="en-US"/>
        </w:rPr>
        <w:t xml:space="preserve"> purposes </w:t>
      </w:r>
      <w:r w:rsidR="001A544F" w:rsidRPr="00174674">
        <w:rPr>
          <w:rFonts w:ascii="Times New Roman" w:hAnsi="Times New Roman" w:cs="Times New Roman"/>
          <w:sz w:val="24"/>
          <w:szCs w:val="24"/>
          <w:lang w:val="en-US"/>
        </w:rPr>
        <w:t>for</w:t>
      </w:r>
      <w:r w:rsidRPr="00174674">
        <w:rPr>
          <w:rFonts w:ascii="Times New Roman" w:hAnsi="Times New Roman" w:cs="Times New Roman"/>
          <w:sz w:val="24"/>
          <w:szCs w:val="24"/>
          <w:lang w:val="en-US"/>
        </w:rPr>
        <w:t xml:space="preserve"> which electoral funds can be </w:t>
      </w:r>
      <w:proofErr w:type="gramStart"/>
      <w:r w:rsidRPr="00174674">
        <w:rPr>
          <w:rFonts w:ascii="Times New Roman" w:hAnsi="Times New Roman" w:cs="Times New Roman"/>
          <w:sz w:val="24"/>
          <w:szCs w:val="24"/>
          <w:lang w:val="en-US"/>
        </w:rPr>
        <w:t>spend</w:t>
      </w:r>
      <w:proofErr w:type="gramEnd"/>
      <w:r w:rsidRPr="00174674">
        <w:rPr>
          <w:rFonts w:ascii="Times New Roman" w:hAnsi="Times New Roman" w:cs="Times New Roman"/>
          <w:sz w:val="24"/>
          <w:szCs w:val="24"/>
          <w:lang w:val="en-US"/>
        </w:rPr>
        <w:t xml:space="preserve"> is also sometimes raised as an important issue. Specifically, many experts and some party </w:t>
      </w:r>
      <w:proofErr w:type="gramStart"/>
      <w:r w:rsidRPr="00174674">
        <w:rPr>
          <w:rFonts w:ascii="Times New Roman" w:hAnsi="Times New Roman" w:cs="Times New Roman"/>
          <w:sz w:val="24"/>
          <w:szCs w:val="24"/>
          <w:lang w:val="en-US"/>
        </w:rPr>
        <w:t>representatives</w:t>
      </w:r>
      <w:proofErr w:type="gramEnd"/>
      <w:r w:rsidRPr="00174674">
        <w:rPr>
          <w:rFonts w:ascii="Times New Roman" w:hAnsi="Times New Roman" w:cs="Times New Roman"/>
          <w:sz w:val="24"/>
          <w:szCs w:val="24"/>
          <w:lang w:val="en-US"/>
        </w:rPr>
        <w:t xml:space="preserve"> point to damaging consequences of </w:t>
      </w:r>
      <w:r w:rsidR="001A6933" w:rsidRPr="00174674">
        <w:rPr>
          <w:rFonts w:ascii="Times New Roman" w:hAnsi="Times New Roman" w:cs="Times New Roman"/>
          <w:sz w:val="24"/>
          <w:szCs w:val="24"/>
          <w:lang w:val="en-US"/>
        </w:rPr>
        <w:t>unlimited</w:t>
      </w:r>
      <w:r w:rsidRPr="00174674">
        <w:rPr>
          <w:rFonts w:ascii="Times New Roman" w:hAnsi="Times New Roman" w:cs="Times New Roman"/>
          <w:sz w:val="24"/>
          <w:szCs w:val="24"/>
          <w:lang w:val="en-US"/>
        </w:rPr>
        <w:t xml:space="preserve"> political advertisement</w:t>
      </w:r>
      <w:r w:rsidR="00F83FEA" w:rsidRPr="00174674">
        <w:rPr>
          <w:rFonts w:ascii="Times New Roman" w:hAnsi="Times New Roman" w:cs="Times New Roman"/>
          <w:sz w:val="24"/>
          <w:szCs w:val="24"/>
          <w:lang w:val="en-US"/>
        </w:rPr>
        <w:t xml:space="preserve"> in electoral periods</w:t>
      </w:r>
      <w:r w:rsidRPr="00174674">
        <w:rPr>
          <w:rFonts w:ascii="Times New Roman" w:hAnsi="Times New Roman" w:cs="Times New Roman"/>
          <w:sz w:val="24"/>
          <w:szCs w:val="24"/>
          <w:lang w:val="en-US"/>
        </w:rPr>
        <w:t>: according to independent monitoring estimates, during 2014 parliamentary elections, parties spend more than 90% of their electoral funds on advertisement in media, predominantly on TV (OPORA, 2014). Abundance of political advertisement, according to assessment of many observers, gives undue advantage to rich parties</w:t>
      </w:r>
      <w:r w:rsidR="00F56068" w:rsidRPr="00174674">
        <w:rPr>
          <w:rStyle w:val="FootnoteReference"/>
          <w:rFonts w:ascii="Times New Roman" w:hAnsi="Times New Roman" w:cs="Times New Roman"/>
          <w:sz w:val="24"/>
          <w:szCs w:val="24"/>
          <w:lang w:val="en-US"/>
        </w:rPr>
        <w:footnoteReference w:id="6"/>
      </w:r>
      <w:r w:rsidRPr="00174674">
        <w:rPr>
          <w:rFonts w:ascii="Times New Roman" w:hAnsi="Times New Roman" w:cs="Times New Roman"/>
          <w:sz w:val="24"/>
          <w:szCs w:val="24"/>
          <w:lang w:val="en-US"/>
        </w:rPr>
        <w:t xml:space="preserve"> and </w:t>
      </w:r>
      <w:proofErr w:type="gramStart"/>
      <w:r w:rsidRPr="00174674">
        <w:rPr>
          <w:rFonts w:ascii="Times New Roman" w:hAnsi="Times New Roman" w:cs="Times New Roman"/>
          <w:sz w:val="24"/>
          <w:szCs w:val="24"/>
          <w:lang w:val="en-US"/>
        </w:rPr>
        <w:t>prevent</w:t>
      </w:r>
      <w:proofErr w:type="gramEnd"/>
      <w:r w:rsidRPr="00174674">
        <w:rPr>
          <w:rFonts w:ascii="Times New Roman" w:hAnsi="Times New Roman" w:cs="Times New Roman"/>
          <w:sz w:val="24"/>
          <w:szCs w:val="24"/>
          <w:lang w:val="en-US"/>
        </w:rPr>
        <w:t xml:space="preserve"> voters from making conscious electoral choice</w:t>
      </w:r>
      <w:r w:rsidR="00487C38" w:rsidRPr="00174674">
        <w:rPr>
          <w:rFonts w:ascii="Times New Roman" w:hAnsi="Times New Roman" w:cs="Times New Roman"/>
          <w:sz w:val="24"/>
          <w:szCs w:val="24"/>
          <w:lang w:val="en-US"/>
        </w:rPr>
        <w:t xml:space="preserve"> (</w:t>
      </w:r>
      <w:hyperlink r:id="rId9" w:history="1">
        <w:r w:rsidR="00487C38" w:rsidRPr="00174674">
          <w:rPr>
            <w:rStyle w:val="Hyperlink"/>
            <w:rFonts w:ascii="Times New Roman" w:hAnsi="Times New Roman" w:cs="Times New Roman"/>
            <w:sz w:val="24"/>
            <w:szCs w:val="24"/>
            <w:lang w:val="en-US"/>
          </w:rPr>
          <w:t>Shevchenko, 2013</w:t>
        </w:r>
      </w:hyperlink>
      <w:r w:rsidR="00F56068" w:rsidRPr="00174674">
        <w:rPr>
          <w:rFonts w:ascii="Times New Roman" w:hAnsi="Times New Roman" w:cs="Times New Roman"/>
          <w:sz w:val="24"/>
          <w:szCs w:val="24"/>
          <w:lang w:val="en-US"/>
        </w:rPr>
        <w:t>)</w:t>
      </w:r>
      <w:r w:rsidRPr="00174674">
        <w:rPr>
          <w:rFonts w:ascii="Times New Roman" w:hAnsi="Times New Roman" w:cs="Times New Roman"/>
          <w:sz w:val="24"/>
          <w:szCs w:val="24"/>
          <w:lang w:val="en-US"/>
        </w:rPr>
        <w:t>.</w:t>
      </w:r>
      <w:r w:rsidR="00487C38" w:rsidRPr="00174674">
        <w:rPr>
          <w:rFonts w:ascii="Times New Roman" w:hAnsi="Times New Roman" w:cs="Times New Roman"/>
          <w:sz w:val="24"/>
          <w:szCs w:val="24"/>
          <w:lang w:val="en-US"/>
        </w:rPr>
        <w:t xml:space="preserve"> Yet, attempts to limit or ban electoral spending on political advertisement in </w:t>
      </w:r>
      <w:proofErr w:type="spellStart"/>
      <w:r w:rsidR="00487C38" w:rsidRPr="00174674">
        <w:rPr>
          <w:rFonts w:ascii="Times New Roman" w:hAnsi="Times New Roman" w:cs="Times New Roman"/>
          <w:sz w:val="24"/>
          <w:szCs w:val="24"/>
          <w:lang w:val="en-US"/>
        </w:rPr>
        <w:t>Verkhovna</w:t>
      </w:r>
      <w:proofErr w:type="spellEnd"/>
      <w:r w:rsidR="00487C38" w:rsidRPr="00174674">
        <w:rPr>
          <w:rFonts w:ascii="Times New Roman" w:hAnsi="Times New Roman" w:cs="Times New Roman"/>
          <w:sz w:val="24"/>
          <w:szCs w:val="24"/>
          <w:lang w:val="en-US"/>
        </w:rPr>
        <w:t xml:space="preserve"> </w:t>
      </w:r>
      <w:proofErr w:type="spellStart"/>
      <w:r w:rsidR="00487C38" w:rsidRPr="00174674">
        <w:rPr>
          <w:rFonts w:ascii="Times New Roman" w:hAnsi="Times New Roman" w:cs="Times New Roman"/>
          <w:sz w:val="24"/>
          <w:szCs w:val="24"/>
          <w:lang w:val="en-US"/>
        </w:rPr>
        <w:t>Rada</w:t>
      </w:r>
      <w:proofErr w:type="spellEnd"/>
      <w:r w:rsidR="00487C38" w:rsidRPr="00174674">
        <w:rPr>
          <w:rFonts w:ascii="Times New Roman" w:hAnsi="Times New Roman" w:cs="Times New Roman"/>
          <w:sz w:val="24"/>
          <w:szCs w:val="24"/>
          <w:lang w:val="en-US"/>
        </w:rPr>
        <w:t xml:space="preserve"> have repe</w:t>
      </w:r>
      <w:r w:rsidR="002102CF" w:rsidRPr="00174674">
        <w:rPr>
          <w:rFonts w:ascii="Times New Roman" w:hAnsi="Times New Roman" w:cs="Times New Roman"/>
          <w:sz w:val="24"/>
          <w:szCs w:val="24"/>
          <w:lang w:val="en-US"/>
        </w:rPr>
        <w:t>atedly failed due</w:t>
      </w:r>
      <w:r w:rsidR="00487C38" w:rsidRPr="00174674">
        <w:rPr>
          <w:rFonts w:ascii="Times New Roman" w:hAnsi="Times New Roman" w:cs="Times New Roman"/>
          <w:sz w:val="24"/>
          <w:szCs w:val="24"/>
          <w:lang w:val="en-US"/>
        </w:rPr>
        <w:t xml:space="preserve"> to strong resistance from big parties.</w:t>
      </w:r>
    </w:p>
    <w:p w:rsidR="00C562CC" w:rsidRPr="00174674" w:rsidRDefault="00487C38" w:rsidP="00C562CC">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Concerning regular party spending, the new law </w:t>
      </w:r>
      <w:r w:rsidR="00C562CC" w:rsidRPr="00174674">
        <w:rPr>
          <w:rFonts w:ascii="Times New Roman" w:hAnsi="Times New Roman" w:cs="Times New Roman"/>
          <w:sz w:val="24"/>
          <w:szCs w:val="24"/>
          <w:lang w:val="en-US"/>
        </w:rPr>
        <w:t xml:space="preserve">puts </w:t>
      </w:r>
      <w:r w:rsidR="000C0B43" w:rsidRPr="00174674">
        <w:rPr>
          <w:rFonts w:ascii="Times New Roman" w:hAnsi="Times New Roman" w:cs="Times New Roman"/>
          <w:sz w:val="24"/>
          <w:szCs w:val="24"/>
          <w:lang w:val="en-US"/>
        </w:rPr>
        <w:t xml:space="preserve">some </w:t>
      </w:r>
      <w:r w:rsidR="00C562CC" w:rsidRPr="00174674">
        <w:rPr>
          <w:rFonts w:ascii="Times New Roman" w:hAnsi="Times New Roman" w:cs="Times New Roman"/>
          <w:sz w:val="24"/>
          <w:szCs w:val="24"/>
          <w:lang w:val="en-US"/>
        </w:rPr>
        <w:t xml:space="preserve">limits on use of public funds. Specifically, it envisages that parties could not spend regular budget </w:t>
      </w:r>
      <w:r w:rsidR="000C0B43" w:rsidRPr="00174674">
        <w:rPr>
          <w:rFonts w:ascii="Times New Roman" w:hAnsi="Times New Roman" w:cs="Times New Roman"/>
          <w:sz w:val="24"/>
          <w:szCs w:val="24"/>
          <w:lang w:val="en-US"/>
        </w:rPr>
        <w:t>subsidies</w:t>
      </w:r>
      <w:r w:rsidR="00C562CC" w:rsidRPr="00174674">
        <w:rPr>
          <w:rFonts w:ascii="Times New Roman" w:hAnsi="Times New Roman" w:cs="Times New Roman"/>
          <w:sz w:val="24"/>
          <w:szCs w:val="24"/>
          <w:lang w:val="en-US"/>
        </w:rPr>
        <w:t xml:space="preserve"> on electoral-related need and are allowed to use it on their ‘statutory activities’, but does not specifically define what falls under the scope of statutory activities. In its preliminary assessment of the law on political finance, OSCE/ODIHR noted that distinction between campaign and statutory activities “is very abstract and seems somewhat artificial” (OSCE/ODIHR, 2015), but this concern was not addressed in the final draft of the law. Exploiting this ambiguity, several parliamentary parties, including Popular Front (PF), </w:t>
      </w:r>
      <w:proofErr w:type="spellStart"/>
      <w:r w:rsidR="00C562CC" w:rsidRPr="00174674">
        <w:rPr>
          <w:rFonts w:ascii="Times New Roman" w:hAnsi="Times New Roman" w:cs="Times New Roman"/>
          <w:i/>
          <w:sz w:val="24"/>
          <w:szCs w:val="24"/>
          <w:lang w:val="en-US"/>
        </w:rPr>
        <w:t>Samopomich</w:t>
      </w:r>
      <w:proofErr w:type="spellEnd"/>
      <w:r w:rsidR="00C562CC" w:rsidRPr="00174674">
        <w:rPr>
          <w:rFonts w:ascii="Times New Roman" w:hAnsi="Times New Roman" w:cs="Times New Roman"/>
          <w:sz w:val="24"/>
          <w:szCs w:val="24"/>
          <w:lang w:val="en-US"/>
        </w:rPr>
        <w:t xml:space="preserve">, and Radical Party of </w:t>
      </w:r>
      <w:proofErr w:type="spellStart"/>
      <w:r w:rsidR="00C562CC" w:rsidRPr="00174674">
        <w:rPr>
          <w:rFonts w:ascii="Times New Roman" w:hAnsi="Times New Roman" w:cs="Times New Roman"/>
          <w:sz w:val="24"/>
          <w:szCs w:val="24"/>
          <w:lang w:val="en-US"/>
        </w:rPr>
        <w:t>Oleh</w:t>
      </w:r>
      <w:proofErr w:type="spellEnd"/>
      <w:r w:rsidR="00C562CC" w:rsidRPr="00174674">
        <w:rPr>
          <w:rFonts w:ascii="Times New Roman" w:hAnsi="Times New Roman" w:cs="Times New Roman"/>
          <w:sz w:val="24"/>
          <w:szCs w:val="24"/>
          <w:lang w:val="en-US"/>
        </w:rPr>
        <w:t xml:space="preserve"> </w:t>
      </w:r>
      <w:proofErr w:type="spellStart"/>
      <w:r w:rsidR="00C562CC" w:rsidRPr="00174674">
        <w:rPr>
          <w:rFonts w:ascii="Times New Roman" w:hAnsi="Times New Roman" w:cs="Times New Roman"/>
          <w:sz w:val="24"/>
          <w:szCs w:val="24"/>
          <w:lang w:val="en-US"/>
        </w:rPr>
        <w:t>Liashko</w:t>
      </w:r>
      <w:proofErr w:type="spellEnd"/>
      <w:r w:rsidR="00C562CC" w:rsidRPr="00174674">
        <w:rPr>
          <w:rFonts w:ascii="Times New Roman" w:hAnsi="Times New Roman" w:cs="Times New Roman"/>
          <w:sz w:val="24"/>
          <w:szCs w:val="24"/>
          <w:lang w:val="en-US"/>
        </w:rPr>
        <w:t xml:space="preserve"> spent considerable share of public subsidies on political advertisement, which was characterized by number of non-governmental organizations as self-serving waste of taxpayers’ money (</w:t>
      </w:r>
      <w:hyperlink r:id="rId10" w:history="1">
        <w:r w:rsidR="00C562CC" w:rsidRPr="00174674">
          <w:rPr>
            <w:rStyle w:val="Hyperlink"/>
            <w:rFonts w:ascii="Times New Roman" w:hAnsi="Times New Roman" w:cs="Times New Roman"/>
            <w:sz w:val="24"/>
            <w:szCs w:val="24"/>
            <w:lang w:val="en-US"/>
          </w:rPr>
          <w:t>Committee of Voters of Ukraine, 2017</w:t>
        </w:r>
      </w:hyperlink>
      <w:r w:rsidR="00C562CC" w:rsidRPr="00174674">
        <w:rPr>
          <w:rFonts w:ascii="Times New Roman" w:hAnsi="Times New Roman" w:cs="Times New Roman"/>
          <w:sz w:val="24"/>
          <w:szCs w:val="24"/>
          <w:lang w:val="en-US"/>
        </w:rPr>
        <w:t>). Faced with such criticism, these parties significantly limited thei</w:t>
      </w:r>
      <w:r w:rsidR="000C0B43" w:rsidRPr="00174674">
        <w:rPr>
          <w:rFonts w:ascii="Times New Roman" w:hAnsi="Times New Roman" w:cs="Times New Roman"/>
          <w:sz w:val="24"/>
          <w:szCs w:val="24"/>
          <w:lang w:val="en-US"/>
        </w:rPr>
        <w:t>r advertisement expenses</w:t>
      </w:r>
      <w:r w:rsidR="00C562CC" w:rsidRPr="00174674">
        <w:rPr>
          <w:rFonts w:ascii="Times New Roman" w:hAnsi="Times New Roman" w:cs="Times New Roman"/>
          <w:sz w:val="24"/>
          <w:szCs w:val="24"/>
          <w:lang w:val="en-US"/>
        </w:rPr>
        <w:t xml:space="preserve"> in the first quarter of 2017. </w:t>
      </w:r>
    </w:p>
    <w:p w:rsidR="00C562CC" w:rsidRDefault="00C562CC" w:rsidP="00C562CC">
      <w:pPr>
        <w:spacing w:after="120" w:line="240" w:lineRule="auto"/>
        <w:ind w:firstLine="426"/>
        <w:jc w:val="both"/>
        <w:rPr>
          <w:rFonts w:ascii="Sylfaen" w:hAnsi="Sylfaen" w:cs="Times New Roman"/>
          <w:sz w:val="24"/>
          <w:szCs w:val="24"/>
          <w:lang w:val="ka-GE"/>
        </w:rPr>
      </w:pPr>
      <w:r w:rsidRPr="00174674">
        <w:rPr>
          <w:rFonts w:ascii="Times New Roman" w:hAnsi="Times New Roman" w:cs="Times New Roman"/>
          <w:sz w:val="24"/>
          <w:szCs w:val="24"/>
          <w:lang w:val="en-US"/>
        </w:rPr>
        <w:t>On the other hand, parties are constrained in the use of public funds by existing budget classification, which allows parties to spend them only on current, but not on capital expenses, meaning they could rent space or equipment, but not buy them. While some party members support such limitations as legitimate restrictions on use of public money, others see them as artificial obstacle to efficient utilization of state funds. Attempts to relax existing regulations have so far been unsuccessful, as the Ministry of Finance, which sets the relevant limitations, refrains from regulating party matters.</w:t>
      </w:r>
    </w:p>
    <w:p w:rsidR="00174674" w:rsidRPr="00174674" w:rsidRDefault="00174674" w:rsidP="00C562CC">
      <w:pPr>
        <w:spacing w:after="120" w:line="240" w:lineRule="auto"/>
        <w:ind w:firstLine="426"/>
        <w:jc w:val="both"/>
        <w:rPr>
          <w:rFonts w:ascii="Sylfaen" w:hAnsi="Sylfaen" w:cs="Times New Roman"/>
          <w:sz w:val="24"/>
          <w:szCs w:val="24"/>
          <w:lang w:val="ka-GE"/>
        </w:rPr>
      </w:pPr>
    </w:p>
    <w:p w:rsidR="00487C38" w:rsidRPr="00174674" w:rsidRDefault="00C91CF9" w:rsidP="00C03A08">
      <w:pPr>
        <w:spacing w:after="120" w:line="240" w:lineRule="auto"/>
        <w:ind w:firstLine="426"/>
        <w:jc w:val="both"/>
        <w:rPr>
          <w:rFonts w:ascii="Times New Roman" w:hAnsi="Times New Roman" w:cs="Times New Roman"/>
          <w:b/>
          <w:i/>
          <w:sz w:val="24"/>
          <w:szCs w:val="24"/>
          <w:lang w:val="en-US"/>
        </w:rPr>
      </w:pPr>
      <w:r w:rsidRPr="00174674">
        <w:rPr>
          <w:rFonts w:ascii="Times New Roman" w:hAnsi="Times New Roman" w:cs="Times New Roman"/>
          <w:b/>
          <w:i/>
          <w:sz w:val="24"/>
          <w:szCs w:val="24"/>
          <w:lang w:val="en-US"/>
        </w:rPr>
        <w:t>Disclosure requirements</w:t>
      </w:r>
    </w:p>
    <w:p w:rsidR="0062216A" w:rsidRPr="00174674" w:rsidRDefault="00C91CF9"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Introduction of comprehensive</w:t>
      </w:r>
      <w:r w:rsidR="00792A7F" w:rsidRPr="00174674">
        <w:rPr>
          <w:rFonts w:ascii="Times New Roman" w:hAnsi="Times New Roman" w:cs="Times New Roman"/>
          <w:sz w:val="24"/>
          <w:szCs w:val="24"/>
          <w:lang w:val="en-US"/>
        </w:rPr>
        <w:t xml:space="preserve"> reporting</w:t>
      </w:r>
      <w:r w:rsidRPr="00174674">
        <w:rPr>
          <w:rFonts w:ascii="Times New Roman" w:hAnsi="Times New Roman" w:cs="Times New Roman"/>
          <w:sz w:val="24"/>
          <w:szCs w:val="24"/>
          <w:lang w:val="en-US"/>
        </w:rPr>
        <w:t xml:space="preserve"> requirements for both parties and candidates is widely seen as one of the most significant improvements brought by the new law. Parties are now obliged to prepare financial reports every quarter and </w:t>
      </w:r>
      <w:r w:rsidR="00792A7F" w:rsidRPr="00174674">
        <w:rPr>
          <w:rFonts w:ascii="Times New Roman" w:hAnsi="Times New Roman" w:cs="Times New Roman"/>
          <w:sz w:val="24"/>
          <w:szCs w:val="24"/>
          <w:lang w:val="en-US"/>
        </w:rPr>
        <w:t>s</w:t>
      </w:r>
      <w:r w:rsidRPr="00174674">
        <w:rPr>
          <w:rFonts w:ascii="Times New Roman" w:hAnsi="Times New Roman" w:cs="Times New Roman"/>
          <w:sz w:val="24"/>
          <w:szCs w:val="24"/>
          <w:lang w:val="en-US"/>
        </w:rPr>
        <w:t>ubmit them to</w:t>
      </w:r>
      <w:r w:rsidR="00792A7F" w:rsidRPr="00174674">
        <w:rPr>
          <w:rFonts w:ascii="Times New Roman" w:hAnsi="Times New Roman" w:cs="Times New Roman"/>
          <w:sz w:val="24"/>
          <w:szCs w:val="24"/>
          <w:lang w:val="en-US"/>
        </w:rPr>
        <w:t xml:space="preserve"> the</w:t>
      </w:r>
      <w:r w:rsidRPr="00174674">
        <w:rPr>
          <w:rFonts w:ascii="Times New Roman" w:hAnsi="Times New Roman" w:cs="Times New Roman"/>
          <w:sz w:val="24"/>
          <w:szCs w:val="24"/>
          <w:lang w:val="en-US"/>
        </w:rPr>
        <w:t xml:space="preserve"> NAPC, as well as publish them on their websites. Reports should disclose all donations</w:t>
      </w:r>
      <w:r w:rsidR="00792A7F" w:rsidRPr="00174674">
        <w:rPr>
          <w:rFonts w:ascii="Times New Roman" w:hAnsi="Times New Roman" w:cs="Times New Roman"/>
          <w:sz w:val="24"/>
          <w:szCs w:val="24"/>
          <w:lang w:val="en-US"/>
        </w:rPr>
        <w:t>, including in-kind donations,</w:t>
      </w:r>
      <w:r w:rsidRPr="00174674">
        <w:rPr>
          <w:rFonts w:ascii="Times New Roman" w:hAnsi="Times New Roman" w:cs="Times New Roman"/>
          <w:sz w:val="24"/>
          <w:szCs w:val="24"/>
          <w:lang w:val="en-US"/>
        </w:rPr>
        <w:t xml:space="preserve"> made to parties</w:t>
      </w:r>
      <w:r w:rsidR="00792A7F" w:rsidRPr="00174674">
        <w:rPr>
          <w:rFonts w:ascii="Times New Roman" w:hAnsi="Times New Roman" w:cs="Times New Roman"/>
          <w:sz w:val="24"/>
          <w:szCs w:val="24"/>
          <w:lang w:val="en-US"/>
        </w:rPr>
        <w:t xml:space="preserve"> and</w:t>
      </w:r>
      <w:r w:rsidRPr="00174674">
        <w:rPr>
          <w:rFonts w:ascii="Times New Roman" w:hAnsi="Times New Roman" w:cs="Times New Roman"/>
          <w:sz w:val="24"/>
          <w:szCs w:val="24"/>
          <w:lang w:val="en-US"/>
        </w:rPr>
        <w:t xml:space="preserve"> its local organizations and related bodies. Each donation should be itemized and followed by disclosure of information about individual and company that made it.</w:t>
      </w:r>
      <w:r w:rsidR="00217D7D" w:rsidRPr="00174674">
        <w:rPr>
          <w:rFonts w:ascii="Times New Roman" w:hAnsi="Times New Roman" w:cs="Times New Roman"/>
          <w:sz w:val="24"/>
          <w:szCs w:val="24"/>
          <w:lang w:val="en-US"/>
        </w:rPr>
        <w:t xml:space="preserve"> In this regard, Ukrainian legislation goes beyond </w:t>
      </w:r>
      <w:r w:rsidR="00792A7F" w:rsidRPr="00174674">
        <w:rPr>
          <w:rFonts w:ascii="Times New Roman" w:hAnsi="Times New Roman" w:cs="Times New Roman"/>
          <w:sz w:val="24"/>
          <w:szCs w:val="24"/>
          <w:lang w:val="en-US"/>
        </w:rPr>
        <w:t>requirements existing in many</w:t>
      </w:r>
      <w:r w:rsidR="00217D7D" w:rsidRPr="00174674">
        <w:rPr>
          <w:rFonts w:ascii="Times New Roman" w:hAnsi="Times New Roman" w:cs="Times New Roman"/>
          <w:sz w:val="24"/>
          <w:szCs w:val="24"/>
          <w:lang w:val="en-US"/>
        </w:rPr>
        <w:t xml:space="preserve"> countries that </w:t>
      </w:r>
      <w:r w:rsidR="00792A7F" w:rsidRPr="00174674">
        <w:rPr>
          <w:rFonts w:ascii="Times New Roman" w:hAnsi="Times New Roman" w:cs="Times New Roman"/>
          <w:sz w:val="24"/>
          <w:szCs w:val="24"/>
          <w:lang w:val="en-US"/>
        </w:rPr>
        <w:t>oblige</w:t>
      </w:r>
      <w:r w:rsidR="00217D7D" w:rsidRPr="00174674">
        <w:rPr>
          <w:rFonts w:ascii="Times New Roman" w:hAnsi="Times New Roman" w:cs="Times New Roman"/>
          <w:sz w:val="24"/>
          <w:szCs w:val="24"/>
          <w:lang w:val="en-US"/>
        </w:rPr>
        <w:t xml:space="preserve"> parties and candidates to reveal identity of their donors only if a donation exceeds a certain amount (IDEA, 2014</w:t>
      </w:r>
      <w:r w:rsidR="006F18FD" w:rsidRPr="00174674">
        <w:rPr>
          <w:rFonts w:ascii="Times New Roman" w:hAnsi="Times New Roman" w:cs="Times New Roman"/>
          <w:sz w:val="24"/>
          <w:szCs w:val="24"/>
          <w:lang w:val="en-US"/>
        </w:rPr>
        <w:t>, p. 29</w:t>
      </w:r>
      <w:r w:rsidR="00217D7D" w:rsidRPr="00174674">
        <w:rPr>
          <w:rFonts w:ascii="Times New Roman" w:hAnsi="Times New Roman" w:cs="Times New Roman"/>
          <w:sz w:val="24"/>
          <w:szCs w:val="24"/>
          <w:lang w:val="en-US"/>
        </w:rPr>
        <w:t xml:space="preserve">). </w:t>
      </w:r>
      <w:r w:rsidR="00792A7F" w:rsidRPr="00174674">
        <w:rPr>
          <w:rFonts w:ascii="Times New Roman" w:hAnsi="Times New Roman" w:cs="Times New Roman"/>
          <w:sz w:val="24"/>
          <w:szCs w:val="24"/>
          <w:lang w:val="en-US"/>
        </w:rPr>
        <w:t xml:space="preserve">In the case of Ukraine, this </w:t>
      </w:r>
      <w:r w:rsidR="00217D7D" w:rsidRPr="00174674">
        <w:rPr>
          <w:rFonts w:ascii="Times New Roman" w:hAnsi="Times New Roman" w:cs="Times New Roman"/>
          <w:sz w:val="24"/>
          <w:szCs w:val="24"/>
          <w:lang w:val="en-US"/>
        </w:rPr>
        <w:t xml:space="preserve">requirement </w:t>
      </w:r>
      <w:r w:rsidR="00792A7F" w:rsidRPr="00174674">
        <w:rPr>
          <w:rFonts w:ascii="Times New Roman" w:hAnsi="Times New Roman" w:cs="Times New Roman"/>
          <w:sz w:val="24"/>
          <w:szCs w:val="24"/>
          <w:lang w:val="en-US"/>
        </w:rPr>
        <w:t>is</w:t>
      </w:r>
      <w:r w:rsidR="00217D7D" w:rsidRPr="00174674">
        <w:rPr>
          <w:rFonts w:ascii="Times New Roman" w:hAnsi="Times New Roman" w:cs="Times New Roman"/>
          <w:sz w:val="24"/>
          <w:szCs w:val="24"/>
          <w:lang w:val="en-US"/>
        </w:rPr>
        <w:t xml:space="preserve"> aimed at ensuring maximum transparency of party </w:t>
      </w:r>
      <w:r w:rsidR="0062216A" w:rsidRPr="00174674">
        <w:rPr>
          <w:rFonts w:ascii="Times New Roman" w:hAnsi="Times New Roman" w:cs="Times New Roman"/>
          <w:sz w:val="24"/>
          <w:szCs w:val="24"/>
          <w:lang w:val="en-US"/>
        </w:rPr>
        <w:t>funds</w:t>
      </w:r>
      <w:r w:rsidR="00792A7F" w:rsidRPr="00174674">
        <w:rPr>
          <w:rFonts w:ascii="Times New Roman" w:hAnsi="Times New Roman" w:cs="Times New Roman"/>
          <w:sz w:val="24"/>
          <w:szCs w:val="24"/>
          <w:lang w:val="en-US"/>
        </w:rPr>
        <w:t xml:space="preserve"> and preventing parties from hiding their income under the category of undisclosed donations</w:t>
      </w:r>
      <w:r w:rsidR="00217D7D" w:rsidRPr="00174674">
        <w:rPr>
          <w:rFonts w:ascii="Times New Roman" w:hAnsi="Times New Roman" w:cs="Times New Roman"/>
          <w:sz w:val="24"/>
          <w:szCs w:val="24"/>
          <w:lang w:val="en-US"/>
        </w:rPr>
        <w:t xml:space="preserve">. </w:t>
      </w:r>
    </w:p>
    <w:p w:rsidR="00DE564B" w:rsidRPr="00174674" w:rsidRDefault="00DE564B"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Similarly, parties are obliged to itemize each expense unit, notwithstanding </w:t>
      </w:r>
      <w:r w:rsidR="0062216A" w:rsidRPr="00174674">
        <w:rPr>
          <w:rFonts w:ascii="Times New Roman" w:hAnsi="Times New Roman" w:cs="Times New Roman"/>
          <w:sz w:val="24"/>
          <w:szCs w:val="24"/>
          <w:lang w:val="en-US"/>
        </w:rPr>
        <w:t>its amount. All property</w:t>
      </w:r>
      <w:r w:rsidR="00570895" w:rsidRPr="00174674">
        <w:rPr>
          <w:rFonts w:ascii="Times New Roman" w:hAnsi="Times New Roman" w:cs="Times New Roman"/>
          <w:sz w:val="24"/>
          <w:szCs w:val="24"/>
          <w:lang w:val="en-US"/>
        </w:rPr>
        <w:t xml:space="preserve"> and assets</w:t>
      </w:r>
      <w:r w:rsidR="0062216A" w:rsidRPr="00174674">
        <w:rPr>
          <w:rFonts w:ascii="Times New Roman" w:hAnsi="Times New Roman" w:cs="Times New Roman"/>
          <w:sz w:val="24"/>
          <w:szCs w:val="24"/>
          <w:lang w:val="en-US"/>
        </w:rPr>
        <w:t xml:space="preserve"> owned</w:t>
      </w:r>
      <w:r w:rsidRPr="00174674">
        <w:rPr>
          <w:rFonts w:ascii="Times New Roman" w:hAnsi="Times New Roman" w:cs="Times New Roman"/>
          <w:sz w:val="24"/>
          <w:szCs w:val="24"/>
          <w:lang w:val="en-US"/>
        </w:rPr>
        <w:t xml:space="preserve"> by party</w:t>
      </w:r>
      <w:r w:rsidR="0062216A" w:rsidRPr="00174674">
        <w:rPr>
          <w:rFonts w:ascii="Times New Roman" w:hAnsi="Times New Roman" w:cs="Times New Roman"/>
          <w:sz w:val="24"/>
          <w:szCs w:val="24"/>
          <w:lang w:val="en-US"/>
        </w:rPr>
        <w:t xml:space="preserve">, as well as its </w:t>
      </w:r>
      <w:r w:rsidR="00570895" w:rsidRPr="00174674">
        <w:rPr>
          <w:rFonts w:ascii="Times New Roman" w:hAnsi="Times New Roman" w:cs="Times New Roman"/>
          <w:sz w:val="24"/>
          <w:szCs w:val="24"/>
          <w:lang w:val="en-US"/>
        </w:rPr>
        <w:t>debts</w:t>
      </w:r>
      <w:r w:rsidR="0062216A" w:rsidRPr="00174674">
        <w:rPr>
          <w:rFonts w:ascii="Times New Roman" w:hAnsi="Times New Roman" w:cs="Times New Roman"/>
          <w:sz w:val="24"/>
          <w:szCs w:val="24"/>
          <w:lang w:val="en-US"/>
        </w:rPr>
        <w:t xml:space="preserve">, should also be reflected in its report. Importantly, quarterly reports should also include </w:t>
      </w:r>
      <w:r w:rsidR="00E14908" w:rsidRPr="00174674">
        <w:rPr>
          <w:rFonts w:ascii="Times New Roman" w:hAnsi="Times New Roman" w:cs="Times New Roman"/>
          <w:sz w:val="24"/>
          <w:szCs w:val="24"/>
          <w:lang w:val="en-US"/>
        </w:rPr>
        <w:t xml:space="preserve">financial information of all party local branches, as well </w:t>
      </w:r>
      <w:r w:rsidR="00792A7F" w:rsidRPr="00174674">
        <w:rPr>
          <w:rFonts w:ascii="Times New Roman" w:hAnsi="Times New Roman" w:cs="Times New Roman"/>
          <w:sz w:val="24"/>
          <w:szCs w:val="24"/>
          <w:lang w:val="en-US"/>
        </w:rPr>
        <w:t>as donations to and expenses from</w:t>
      </w:r>
      <w:r w:rsidR="00E14908" w:rsidRPr="00174674">
        <w:rPr>
          <w:rFonts w:ascii="Times New Roman" w:hAnsi="Times New Roman" w:cs="Times New Roman"/>
          <w:sz w:val="24"/>
          <w:szCs w:val="24"/>
          <w:lang w:val="en-US"/>
        </w:rPr>
        <w:t xml:space="preserve"> electoral funds of party and its candidates during all elections. Separately, parties and candidates on parliamentary and presidential elections should submit interim and final </w:t>
      </w:r>
      <w:r w:rsidR="00792A7F" w:rsidRPr="00174674">
        <w:rPr>
          <w:rFonts w:ascii="Times New Roman" w:hAnsi="Times New Roman" w:cs="Times New Roman"/>
          <w:sz w:val="24"/>
          <w:szCs w:val="24"/>
          <w:lang w:val="en-US"/>
        </w:rPr>
        <w:t xml:space="preserve">electoral </w:t>
      </w:r>
      <w:r w:rsidR="00E14908" w:rsidRPr="00174674">
        <w:rPr>
          <w:rFonts w:ascii="Times New Roman" w:hAnsi="Times New Roman" w:cs="Times New Roman"/>
          <w:sz w:val="24"/>
          <w:szCs w:val="24"/>
          <w:lang w:val="en-US"/>
        </w:rPr>
        <w:t xml:space="preserve">reports, disclosing the same information, </w:t>
      </w:r>
      <w:r w:rsidR="00F55836" w:rsidRPr="00174674">
        <w:rPr>
          <w:rFonts w:ascii="Times New Roman" w:hAnsi="Times New Roman" w:cs="Times New Roman"/>
          <w:sz w:val="24"/>
          <w:szCs w:val="24"/>
          <w:lang w:val="en-US"/>
        </w:rPr>
        <w:t>both to the CEC and to the</w:t>
      </w:r>
      <w:r w:rsidR="00792A7F" w:rsidRPr="00174674">
        <w:rPr>
          <w:rFonts w:ascii="Times New Roman" w:hAnsi="Times New Roman" w:cs="Times New Roman"/>
          <w:sz w:val="24"/>
          <w:szCs w:val="24"/>
          <w:lang w:val="en-US"/>
        </w:rPr>
        <w:t xml:space="preserve"> </w:t>
      </w:r>
      <w:r w:rsidR="00E14908" w:rsidRPr="00174674">
        <w:rPr>
          <w:rFonts w:ascii="Times New Roman" w:hAnsi="Times New Roman" w:cs="Times New Roman"/>
          <w:sz w:val="24"/>
          <w:szCs w:val="24"/>
          <w:lang w:val="en-US"/>
        </w:rPr>
        <w:t>NAPC. Regular and electoral reports should be submitted both in paper and electronic format and made available to the public.</w:t>
      </w:r>
    </w:p>
    <w:p w:rsidR="00570895" w:rsidRPr="00174674" w:rsidRDefault="00570895"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On the surface, Ukraine has complied with important requirements of both GR</w:t>
      </w:r>
      <w:r w:rsidR="005726E9" w:rsidRPr="00174674">
        <w:rPr>
          <w:rFonts w:ascii="Times New Roman" w:hAnsi="Times New Roman" w:cs="Times New Roman"/>
          <w:sz w:val="24"/>
          <w:szCs w:val="24"/>
          <w:lang w:val="en-US"/>
        </w:rPr>
        <w:t>ECO and OSCE/ODIHR on introduction of standardized and comprehensive reporting mechanism</w:t>
      </w:r>
      <w:r w:rsidRPr="00174674">
        <w:rPr>
          <w:rFonts w:ascii="Times New Roman" w:hAnsi="Times New Roman" w:cs="Times New Roman"/>
          <w:sz w:val="24"/>
          <w:szCs w:val="24"/>
          <w:lang w:val="en-US"/>
        </w:rPr>
        <w:t xml:space="preserve">. Ukrainian observers also agree </w:t>
      </w:r>
      <w:r w:rsidRPr="00174674">
        <w:rPr>
          <w:rFonts w:ascii="Times New Roman" w:hAnsi="Times New Roman" w:cs="Times New Roman"/>
          <w:sz w:val="24"/>
          <w:szCs w:val="24"/>
          <w:lang w:val="en-US"/>
        </w:rPr>
        <w:lastRenderedPageBreak/>
        <w:t xml:space="preserve">that new reporting format constitutes a huge step forward in terms of </w:t>
      </w:r>
      <w:r w:rsidR="005726E9" w:rsidRPr="00174674">
        <w:rPr>
          <w:rFonts w:ascii="Times New Roman" w:hAnsi="Times New Roman" w:cs="Times New Roman"/>
          <w:sz w:val="24"/>
          <w:szCs w:val="24"/>
          <w:lang w:val="en-US"/>
        </w:rPr>
        <w:t>transparency of party coffers allowing citizens to gain insights into financial standings of parties and candidates. Yet, there are also several problematic moments.</w:t>
      </w:r>
    </w:p>
    <w:p w:rsidR="0062216A" w:rsidRPr="00174674" w:rsidRDefault="005726E9"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First, reporting format developed by NAPC, according to many party representatives and non-governmental observers, seem to be too cumbersome and unnecessarily detailed and puts enormous burden on parties that are willing to fully comply with its requirements. The situation was complicated by the decision of NAPC to oblige parties to present information on all of their local organizations as separate reports, further increasing excessive workload of party account</w:t>
      </w:r>
      <w:r w:rsidR="00F55836" w:rsidRPr="00174674">
        <w:rPr>
          <w:rFonts w:ascii="Times New Roman" w:hAnsi="Times New Roman" w:cs="Times New Roman"/>
          <w:sz w:val="24"/>
          <w:szCs w:val="24"/>
          <w:lang w:val="en-US"/>
        </w:rPr>
        <w:t>ants</w:t>
      </w:r>
      <w:r w:rsidRPr="00174674">
        <w:rPr>
          <w:rFonts w:ascii="Times New Roman" w:hAnsi="Times New Roman" w:cs="Times New Roman"/>
          <w:sz w:val="24"/>
          <w:szCs w:val="24"/>
          <w:lang w:val="en-US"/>
        </w:rPr>
        <w:t xml:space="preserve">. This is especially true for small parties, and many of them </w:t>
      </w:r>
      <w:r w:rsidR="00705A6A" w:rsidRPr="00174674">
        <w:rPr>
          <w:rFonts w:ascii="Times New Roman" w:hAnsi="Times New Roman" w:cs="Times New Roman"/>
          <w:sz w:val="24"/>
          <w:szCs w:val="24"/>
          <w:lang w:val="en-US"/>
        </w:rPr>
        <w:t xml:space="preserve">have </w:t>
      </w:r>
      <w:r w:rsidR="00CB0DBD" w:rsidRPr="00174674">
        <w:rPr>
          <w:rFonts w:ascii="Times New Roman" w:hAnsi="Times New Roman" w:cs="Times New Roman"/>
          <w:sz w:val="24"/>
          <w:szCs w:val="24"/>
          <w:lang w:val="en-US"/>
        </w:rPr>
        <w:t>opted for submitting blank reports of their local branches or not submitting the</w:t>
      </w:r>
      <w:r w:rsidR="00705A6A" w:rsidRPr="00174674">
        <w:rPr>
          <w:rFonts w:ascii="Times New Roman" w:hAnsi="Times New Roman" w:cs="Times New Roman"/>
          <w:sz w:val="24"/>
          <w:szCs w:val="24"/>
          <w:lang w:val="en-US"/>
        </w:rPr>
        <w:t>m</w:t>
      </w:r>
      <w:r w:rsidR="00CB0DBD" w:rsidRPr="00174674">
        <w:rPr>
          <w:rFonts w:ascii="Times New Roman" w:hAnsi="Times New Roman" w:cs="Times New Roman"/>
          <w:sz w:val="24"/>
          <w:szCs w:val="24"/>
          <w:lang w:val="en-US"/>
        </w:rPr>
        <w:t xml:space="preserve"> at all. Moreover, reporting template lacks internal coherency and is quite difficult to comprehend by an interested citizen. For example, it lacks clear classification of</w:t>
      </w:r>
      <w:r w:rsidR="00894487" w:rsidRPr="00174674">
        <w:rPr>
          <w:rFonts w:ascii="Times New Roman" w:hAnsi="Times New Roman" w:cs="Times New Roman"/>
          <w:sz w:val="24"/>
          <w:szCs w:val="24"/>
          <w:lang w:val="uk-UA"/>
        </w:rPr>
        <w:t xml:space="preserve"> </w:t>
      </w:r>
      <w:r w:rsidR="00894487" w:rsidRPr="00174674">
        <w:rPr>
          <w:rFonts w:ascii="Times New Roman" w:hAnsi="Times New Roman" w:cs="Times New Roman"/>
          <w:sz w:val="24"/>
          <w:szCs w:val="24"/>
          <w:lang w:val="en-US"/>
        </w:rPr>
        <w:t>donation types and</w:t>
      </w:r>
      <w:r w:rsidR="00CB0DBD" w:rsidRPr="00174674">
        <w:rPr>
          <w:rFonts w:ascii="Times New Roman" w:hAnsi="Times New Roman" w:cs="Times New Roman"/>
          <w:sz w:val="24"/>
          <w:szCs w:val="24"/>
          <w:lang w:val="en-US"/>
        </w:rPr>
        <w:t xml:space="preserve"> party expenses; the latter is especially surprising given that</w:t>
      </w:r>
      <w:r w:rsidR="00705A6A" w:rsidRPr="00174674">
        <w:rPr>
          <w:rFonts w:ascii="Times New Roman" w:hAnsi="Times New Roman" w:cs="Times New Roman"/>
          <w:sz w:val="24"/>
          <w:szCs w:val="24"/>
          <w:lang w:val="en-US"/>
        </w:rPr>
        <w:t xml:space="preserve"> the</w:t>
      </w:r>
      <w:r w:rsidR="00CB0DBD" w:rsidRPr="00174674">
        <w:rPr>
          <w:rFonts w:ascii="Times New Roman" w:hAnsi="Times New Roman" w:cs="Times New Roman"/>
          <w:sz w:val="24"/>
          <w:szCs w:val="24"/>
          <w:lang w:val="en-US"/>
        </w:rPr>
        <w:t xml:space="preserve"> CEC has already developed such classification for its own needs.</w:t>
      </w:r>
    </w:p>
    <w:p w:rsidR="00CB0DBD" w:rsidRPr="00174674" w:rsidRDefault="00CB0DBD"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Related problem is unavailability of party reports in accessible electronic format. All </w:t>
      </w:r>
      <w:r w:rsidR="00313F01" w:rsidRPr="00174674">
        <w:rPr>
          <w:rFonts w:ascii="Times New Roman" w:hAnsi="Times New Roman" w:cs="Times New Roman"/>
          <w:sz w:val="24"/>
          <w:szCs w:val="24"/>
          <w:lang w:val="en-US"/>
        </w:rPr>
        <w:t>reports</w:t>
      </w:r>
      <w:r w:rsidRPr="00174674">
        <w:rPr>
          <w:rFonts w:ascii="Times New Roman" w:hAnsi="Times New Roman" w:cs="Times New Roman"/>
          <w:sz w:val="24"/>
          <w:szCs w:val="24"/>
          <w:lang w:val="en-US"/>
        </w:rPr>
        <w:t xml:space="preserve"> are published on </w:t>
      </w:r>
      <w:r w:rsidR="00313F01"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 xml:space="preserve">NAPC website as scanned .pdf files in non-machine-readable format, although </w:t>
      </w:r>
      <w:r w:rsidR="00313F01"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 xml:space="preserve">law prescribes that they should also be presented in open data format. This </w:t>
      </w:r>
      <w:r w:rsidR="001F4AF2" w:rsidRPr="00174674">
        <w:rPr>
          <w:rFonts w:ascii="Times New Roman" w:hAnsi="Times New Roman" w:cs="Times New Roman"/>
          <w:sz w:val="24"/>
          <w:szCs w:val="24"/>
          <w:lang w:val="en-US"/>
        </w:rPr>
        <w:t>complicates both the work of NAPC and monitoring of party rep</w:t>
      </w:r>
      <w:r w:rsidR="00313F01" w:rsidRPr="00174674">
        <w:rPr>
          <w:rFonts w:ascii="Times New Roman" w:hAnsi="Times New Roman" w:cs="Times New Roman"/>
          <w:sz w:val="24"/>
          <w:szCs w:val="24"/>
          <w:lang w:val="en-US"/>
        </w:rPr>
        <w:t>orts by civil society and media</w:t>
      </w:r>
      <w:r w:rsidR="001F4AF2" w:rsidRPr="00174674">
        <w:rPr>
          <w:rFonts w:ascii="Times New Roman" w:hAnsi="Times New Roman" w:cs="Times New Roman"/>
          <w:sz w:val="24"/>
          <w:szCs w:val="24"/>
          <w:lang w:val="en-US"/>
        </w:rPr>
        <w:t xml:space="preserve">. </w:t>
      </w:r>
      <w:r w:rsidR="000C1003" w:rsidRPr="00174674">
        <w:rPr>
          <w:rFonts w:ascii="Times New Roman" w:hAnsi="Times New Roman" w:cs="Times New Roman"/>
          <w:sz w:val="24"/>
          <w:szCs w:val="24"/>
          <w:lang w:val="en-US"/>
        </w:rPr>
        <w:t>This problem has already been identified by NAPC, and it is currently working with IFES Ukraine on developing electronic reporting platform, expecting to finish it by the end of 2017.</w:t>
      </w:r>
      <w:r w:rsidR="00EE1FD0" w:rsidRPr="00174674">
        <w:rPr>
          <w:rFonts w:ascii="Times New Roman" w:hAnsi="Times New Roman" w:cs="Times New Roman"/>
          <w:sz w:val="24"/>
          <w:szCs w:val="24"/>
          <w:lang w:val="en-US"/>
        </w:rPr>
        <w:t xml:space="preserve"> Yet, the working group on the new reporting system as of now excludes party </w:t>
      </w:r>
      <w:r w:rsidR="005669C8" w:rsidRPr="00174674">
        <w:rPr>
          <w:rFonts w:ascii="Times New Roman" w:hAnsi="Times New Roman" w:cs="Times New Roman"/>
          <w:sz w:val="24"/>
          <w:szCs w:val="24"/>
          <w:lang w:val="en-US"/>
        </w:rPr>
        <w:t>members</w:t>
      </w:r>
      <w:r w:rsidR="00EE1FD0" w:rsidRPr="00174674">
        <w:rPr>
          <w:rFonts w:ascii="Times New Roman" w:hAnsi="Times New Roman" w:cs="Times New Roman"/>
          <w:sz w:val="24"/>
          <w:szCs w:val="24"/>
          <w:lang w:val="en-US"/>
        </w:rPr>
        <w:t xml:space="preserve"> and lacks</w:t>
      </w:r>
      <w:r w:rsidR="005669C8" w:rsidRPr="00174674">
        <w:rPr>
          <w:rFonts w:ascii="Times New Roman" w:hAnsi="Times New Roman" w:cs="Times New Roman"/>
          <w:sz w:val="24"/>
          <w:szCs w:val="24"/>
          <w:lang w:val="en-US"/>
        </w:rPr>
        <w:t xml:space="preserve"> </w:t>
      </w:r>
      <w:r w:rsidR="00EE1FD0" w:rsidRPr="00174674">
        <w:rPr>
          <w:rFonts w:ascii="Times New Roman" w:hAnsi="Times New Roman" w:cs="Times New Roman"/>
          <w:sz w:val="24"/>
          <w:szCs w:val="24"/>
          <w:lang w:val="en-US"/>
        </w:rPr>
        <w:t>representation of civil society actors, which risks compromising the quality of the new platfo</w:t>
      </w:r>
      <w:r w:rsidR="002F3C50" w:rsidRPr="00174674">
        <w:rPr>
          <w:rFonts w:ascii="Times New Roman" w:hAnsi="Times New Roman" w:cs="Times New Roman"/>
          <w:sz w:val="24"/>
          <w:szCs w:val="24"/>
          <w:lang w:val="en-US"/>
        </w:rPr>
        <w:t>rm and undermining trust in it by</w:t>
      </w:r>
      <w:r w:rsidR="00EE1FD0" w:rsidRPr="00174674">
        <w:rPr>
          <w:rFonts w:ascii="Times New Roman" w:hAnsi="Times New Roman" w:cs="Times New Roman"/>
          <w:sz w:val="24"/>
          <w:szCs w:val="24"/>
          <w:lang w:val="en-US"/>
        </w:rPr>
        <w:t xml:space="preserve"> those who will be using it in the future.</w:t>
      </w:r>
    </w:p>
    <w:p w:rsidR="00425C4E" w:rsidRPr="00174674" w:rsidRDefault="00BA5156"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To further increase transparency of party funds, the law on political finance obliged all parties that have received state subsidies or have participated in election</w:t>
      </w:r>
      <w:r w:rsidR="00C97FEB" w:rsidRPr="00174674">
        <w:rPr>
          <w:rFonts w:ascii="Times New Roman" w:hAnsi="Times New Roman" w:cs="Times New Roman"/>
          <w:sz w:val="24"/>
          <w:szCs w:val="24"/>
          <w:lang w:val="en-US"/>
        </w:rPr>
        <w:t>s</w:t>
      </w:r>
      <w:r w:rsidRPr="00174674">
        <w:rPr>
          <w:rFonts w:ascii="Times New Roman" w:hAnsi="Times New Roman" w:cs="Times New Roman"/>
          <w:sz w:val="24"/>
          <w:szCs w:val="24"/>
          <w:lang w:val="en-US"/>
        </w:rPr>
        <w:t xml:space="preserve"> </w:t>
      </w:r>
      <w:r w:rsidR="00C97FEB" w:rsidRPr="00174674">
        <w:rPr>
          <w:rFonts w:ascii="Times New Roman" w:hAnsi="Times New Roman" w:cs="Times New Roman"/>
          <w:sz w:val="24"/>
          <w:szCs w:val="24"/>
          <w:lang w:val="en-US"/>
        </w:rPr>
        <w:t>during the most</w:t>
      </w:r>
      <w:r w:rsidRPr="00174674">
        <w:rPr>
          <w:rFonts w:ascii="Times New Roman" w:hAnsi="Times New Roman" w:cs="Times New Roman"/>
          <w:sz w:val="24"/>
          <w:szCs w:val="24"/>
          <w:lang w:val="en-US"/>
        </w:rPr>
        <w:t xml:space="preserve"> recent year to undergo external audit.</w:t>
      </w:r>
      <w:r w:rsidRPr="00174674">
        <w:rPr>
          <w:rFonts w:ascii="Times New Roman" w:hAnsi="Times New Roman" w:cs="Times New Roman"/>
          <w:sz w:val="24"/>
          <w:szCs w:val="24"/>
          <w:lang w:val="uk-UA"/>
        </w:rPr>
        <w:t xml:space="preserve"> </w:t>
      </w:r>
      <w:r w:rsidRPr="00174674">
        <w:rPr>
          <w:rFonts w:ascii="Times New Roman" w:hAnsi="Times New Roman" w:cs="Times New Roman"/>
          <w:sz w:val="24"/>
          <w:szCs w:val="24"/>
          <w:lang w:val="en-US"/>
        </w:rPr>
        <w:t xml:space="preserve">Parties are free to choose auditors, but cannot use services of the same auditor </w:t>
      </w:r>
      <w:r w:rsidR="00C97FEB" w:rsidRPr="00174674">
        <w:rPr>
          <w:rFonts w:ascii="Times New Roman" w:hAnsi="Times New Roman" w:cs="Times New Roman"/>
          <w:sz w:val="24"/>
          <w:szCs w:val="24"/>
          <w:lang w:val="en-US"/>
        </w:rPr>
        <w:t xml:space="preserve">for </w:t>
      </w:r>
      <w:r w:rsidRPr="00174674">
        <w:rPr>
          <w:rFonts w:ascii="Times New Roman" w:hAnsi="Times New Roman" w:cs="Times New Roman"/>
          <w:sz w:val="24"/>
          <w:szCs w:val="24"/>
          <w:lang w:val="en-US"/>
        </w:rPr>
        <w:t xml:space="preserve">more than three years in a row, which should prevent collusion of parties and auditors. This is also in line with recommendations by GRECO and OSCE/ODIHR. However, the first annual audits held at the start of 2017 also </w:t>
      </w:r>
      <w:r w:rsidR="0021595E" w:rsidRPr="00174674">
        <w:rPr>
          <w:rFonts w:ascii="Times New Roman" w:hAnsi="Times New Roman" w:cs="Times New Roman"/>
          <w:sz w:val="24"/>
          <w:szCs w:val="24"/>
          <w:lang w:val="en-US"/>
        </w:rPr>
        <w:t>pointed to</w:t>
      </w:r>
      <w:r w:rsidRPr="00174674">
        <w:rPr>
          <w:rFonts w:ascii="Times New Roman" w:hAnsi="Times New Roman" w:cs="Times New Roman"/>
          <w:sz w:val="24"/>
          <w:szCs w:val="24"/>
          <w:lang w:val="en-US"/>
        </w:rPr>
        <w:t xml:space="preserve"> several </w:t>
      </w:r>
      <w:r w:rsidR="00317BE2" w:rsidRPr="00174674">
        <w:rPr>
          <w:rFonts w:ascii="Times New Roman" w:hAnsi="Times New Roman" w:cs="Times New Roman"/>
          <w:sz w:val="24"/>
          <w:szCs w:val="24"/>
          <w:lang w:val="en-US"/>
        </w:rPr>
        <w:t xml:space="preserve">challenges. </w:t>
      </w:r>
    </w:p>
    <w:p w:rsidR="00317BE2" w:rsidRPr="00174674" w:rsidRDefault="00317BE2"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First, the law set very demanding requirement</w:t>
      </w:r>
      <w:r w:rsidR="00C97FEB" w:rsidRPr="00174674">
        <w:rPr>
          <w:rFonts w:ascii="Times New Roman" w:hAnsi="Times New Roman" w:cs="Times New Roman"/>
          <w:sz w:val="24"/>
          <w:szCs w:val="24"/>
          <w:lang w:val="en-US"/>
        </w:rPr>
        <w:t>s</w:t>
      </w:r>
      <w:r w:rsidRPr="00174674">
        <w:rPr>
          <w:rFonts w:ascii="Times New Roman" w:hAnsi="Times New Roman" w:cs="Times New Roman"/>
          <w:sz w:val="24"/>
          <w:szCs w:val="24"/>
          <w:lang w:val="en-US"/>
        </w:rPr>
        <w:t xml:space="preserve"> for companies to </w:t>
      </w:r>
      <w:r w:rsidR="00C97FEB" w:rsidRPr="00174674">
        <w:rPr>
          <w:rFonts w:ascii="Times New Roman" w:hAnsi="Times New Roman" w:cs="Times New Roman"/>
          <w:sz w:val="24"/>
          <w:szCs w:val="24"/>
          <w:lang w:val="en-US"/>
        </w:rPr>
        <w:t>qualify for</w:t>
      </w:r>
      <w:r w:rsidRPr="00174674">
        <w:rPr>
          <w:rFonts w:ascii="Times New Roman" w:hAnsi="Times New Roman" w:cs="Times New Roman"/>
          <w:sz w:val="24"/>
          <w:szCs w:val="24"/>
          <w:lang w:val="en-US"/>
        </w:rPr>
        <w:t xml:space="preserve"> auditing party reports. Only around 20 audit companies are currently have the right to provide audit services to parties, while the Big Four accounting firms refused to be engaged in party matters altogether. As a result, cost of audit services for parties are quite high, and many small parties simply lack funds to cover them. In addition, parties have very limited time to conduct external audit, as they are obliged to submit audit reports together with their annual reports only 40 days after the end of the years. As parties first prepare their annual report</w:t>
      </w:r>
      <w:r w:rsidR="00B10E1E" w:rsidRPr="00174674">
        <w:rPr>
          <w:rFonts w:ascii="Times New Roman" w:hAnsi="Times New Roman" w:cs="Times New Roman"/>
          <w:sz w:val="24"/>
          <w:szCs w:val="24"/>
          <w:lang w:val="en-US"/>
        </w:rPr>
        <w:t>s and only then submit them</w:t>
      </w:r>
      <w:r w:rsidRPr="00174674">
        <w:rPr>
          <w:rFonts w:ascii="Times New Roman" w:hAnsi="Times New Roman" w:cs="Times New Roman"/>
          <w:sz w:val="24"/>
          <w:szCs w:val="24"/>
          <w:lang w:val="en-US"/>
        </w:rPr>
        <w:t xml:space="preserve"> to external audit, auditors often lack time necessary to conduct in-depth review of party finance</w:t>
      </w:r>
      <w:r w:rsidR="00466A84" w:rsidRPr="00174674">
        <w:rPr>
          <w:rFonts w:ascii="Times New Roman" w:hAnsi="Times New Roman" w:cs="Times New Roman"/>
          <w:sz w:val="24"/>
          <w:szCs w:val="24"/>
          <w:lang w:val="en-US"/>
        </w:rPr>
        <w:t>, which</w:t>
      </w:r>
      <w:r w:rsidRPr="00174674">
        <w:rPr>
          <w:rFonts w:ascii="Times New Roman" w:hAnsi="Times New Roman" w:cs="Times New Roman"/>
          <w:sz w:val="24"/>
          <w:szCs w:val="24"/>
          <w:lang w:val="en-US"/>
        </w:rPr>
        <w:t xml:space="preserve"> put</w:t>
      </w:r>
      <w:r w:rsidR="00466A84" w:rsidRPr="00174674">
        <w:rPr>
          <w:rFonts w:ascii="Times New Roman" w:hAnsi="Times New Roman" w:cs="Times New Roman"/>
          <w:sz w:val="24"/>
          <w:szCs w:val="24"/>
          <w:lang w:val="en-US"/>
        </w:rPr>
        <w:t>s</w:t>
      </w:r>
      <w:r w:rsidRPr="00174674">
        <w:rPr>
          <w:rFonts w:ascii="Times New Roman" w:hAnsi="Times New Roman" w:cs="Times New Roman"/>
          <w:sz w:val="24"/>
          <w:szCs w:val="24"/>
          <w:lang w:val="en-US"/>
        </w:rPr>
        <w:t xml:space="preserve"> undue pressure on both them and parties and compromises quality of audit conclusion.</w:t>
      </w:r>
      <w:r w:rsidR="00466A84" w:rsidRPr="00174674">
        <w:rPr>
          <w:rFonts w:ascii="Times New Roman" w:hAnsi="Times New Roman" w:cs="Times New Roman"/>
          <w:sz w:val="24"/>
          <w:szCs w:val="24"/>
          <w:lang w:val="en-US"/>
        </w:rPr>
        <w:t xml:space="preserve"> Finally, it is questionable whether parties that have participated in any local elections at any level should be obliged to undergo external audit.</w:t>
      </w:r>
    </w:p>
    <w:p w:rsidR="00B40869" w:rsidRPr="00174674" w:rsidRDefault="00B40869" w:rsidP="00C03A08">
      <w:pPr>
        <w:spacing w:after="120" w:line="240" w:lineRule="auto"/>
        <w:ind w:firstLine="426"/>
        <w:jc w:val="both"/>
        <w:rPr>
          <w:rFonts w:ascii="Times New Roman" w:hAnsi="Times New Roman" w:cs="Times New Roman"/>
          <w:b/>
          <w:i/>
          <w:sz w:val="24"/>
          <w:szCs w:val="24"/>
          <w:lang w:val="en-US"/>
        </w:rPr>
      </w:pPr>
    </w:p>
    <w:p w:rsidR="009A65DC" w:rsidRPr="00174674" w:rsidRDefault="00FE31F3" w:rsidP="00C03A08">
      <w:pPr>
        <w:spacing w:after="120" w:line="240" w:lineRule="auto"/>
        <w:ind w:firstLine="426"/>
        <w:jc w:val="both"/>
        <w:rPr>
          <w:rFonts w:ascii="Times New Roman" w:hAnsi="Times New Roman" w:cs="Times New Roman"/>
          <w:b/>
          <w:i/>
          <w:sz w:val="24"/>
          <w:szCs w:val="24"/>
          <w:lang w:val="en-US"/>
        </w:rPr>
      </w:pPr>
      <w:r w:rsidRPr="00174674">
        <w:rPr>
          <w:rFonts w:ascii="Times New Roman" w:hAnsi="Times New Roman" w:cs="Times New Roman"/>
          <w:b/>
          <w:i/>
          <w:sz w:val="24"/>
          <w:szCs w:val="24"/>
          <w:lang w:val="en-US"/>
        </w:rPr>
        <w:t>State monitoring and oversight</w:t>
      </w:r>
    </w:p>
    <w:p w:rsidR="00362A0B" w:rsidRPr="00174674" w:rsidRDefault="00362A0B"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According to the new political finance regulation model, newly created anticorruption agency, </w:t>
      </w:r>
      <w:r w:rsidR="006F2E45"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NAPC, is responsible for monit</w:t>
      </w:r>
      <w:r w:rsidR="006F2E45" w:rsidRPr="00174674">
        <w:rPr>
          <w:rFonts w:ascii="Times New Roman" w:hAnsi="Times New Roman" w:cs="Times New Roman"/>
          <w:sz w:val="24"/>
          <w:szCs w:val="24"/>
          <w:lang w:val="en-US"/>
        </w:rPr>
        <w:t>oring party reports and providing general oversight of</w:t>
      </w:r>
      <w:r w:rsidRPr="00174674">
        <w:rPr>
          <w:rFonts w:ascii="Times New Roman" w:hAnsi="Times New Roman" w:cs="Times New Roman"/>
          <w:sz w:val="24"/>
          <w:szCs w:val="24"/>
          <w:lang w:val="en-US"/>
        </w:rPr>
        <w:t xml:space="preserve"> compliance of parties and candidates with the new provisions. According to </w:t>
      </w:r>
      <w:r w:rsidR="00DF49FC"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recommendations by GRECO, it was given special status as a</w:t>
      </w:r>
      <w:r w:rsidR="00772D1E" w:rsidRPr="00174674">
        <w:rPr>
          <w:rFonts w:ascii="Times New Roman" w:hAnsi="Times New Roman" w:cs="Times New Roman"/>
          <w:sz w:val="24"/>
          <w:szCs w:val="24"/>
          <w:lang w:val="en-US"/>
        </w:rPr>
        <w:t>n independent</w:t>
      </w:r>
      <w:r w:rsidR="00071911" w:rsidRPr="00174674">
        <w:rPr>
          <w:rFonts w:ascii="Times New Roman" w:hAnsi="Times New Roman" w:cs="Times New Roman"/>
          <w:sz w:val="24"/>
          <w:szCs w:val="24"/>
          <w:lang w:val="en-US"/>
        </w:rPr>
        <w:t xml:space="preserve"> body</w:t>
      </w:r>
      <w:r w:rsidRPr="00174674">
        <w:rPr>
          <w:rFonts w:ascii="Times New Roman" w:hAnsi="Times New Roman" w:cs="Times New Roman"/>
          <w:sz w:val="24"/>
          <w:szCs w:val="24"/>
          <w:lang w:val="en-US"/>
        </w:rPr>
        <w:t xml:space="preserve"> created through open competition procedure. Furthermore, the law guarantees </w:t>
      </w:r>
      <w:r w:rsidR="000271F9"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NAPC members relative</w:t>
      </w:r>
      <w:r w:rsidR="006157A3" w:rsidRPr="00174674">
        <w:rPr>
          <w:rFonts w:ascii="Times New Roman" w:hAnsi="Times New Roman" w:cs="Times New Roman"/>
          <w:sz w:val="24"/>
          <w:szCs w:val="24"/>
          <w:lang w:val="en-US"/>
        </w:rPr>
        <w:t>ly high salaries and protection from interference of political</w:t>
      </w:r>
      <w:r w:rsidR="00DF49FC" w:rsidRPr="00174674">
        <w:rPr>
          <w:rFonts w:ascii="Times New Roman" w:hAnsi="Times New Roman" w:cs="Times New Roman"/>
          <w:sz w:val="24"/>
          <w:szCs w:val="24"/>
          <w:lang w:val="en-US"/>
        </w:rPr>
        <w:t xml:space="preserve"> actors and</w:t>
      </w:r>
      <w:r w:rsidR="006157A3" w:rsidRPr="00174674">
        <w:rPr>
          <w:rFonts w:ascii="Times New Roman" w:hAnsi="Times New Roman" w:cs="Times New Roman"/>
          <w:sz w:val="24"/>
          <w:szCs w:val="24"/>
          <w:lang w:val="en-US"/>
        </w:rPr>
        <w:t xml:space="preserve"> </w:t>
      </w:r>
      <w:r w:rsidR="00DF49FC" w:rsidRPr="00174674">
        <w:rPr>
          <w:rFonts w:ascii="Times New Roman" w:hAnsi="Times New Roman" w:cs="Times New Roman"/>
          <w:sz w:val="24"/>
          <w:szCs w:val="24"/>
          <w:lang w:val="en-US"/>
        </w:rPr>
        <w:t>institutions</w:t>
      </w:r>
      <w:r w:rsidR="006157A3" w:rsidRPr="00174674">
        <w:rPr>
          <w:rFonts w:ascii="Times New Roman" w:hAnsi="Times New Roman" w:cs="Times New Roman"/>
          <w:sz w:val="24"/>
          <w:szCs w:val="24"/>
          <w:lang w:val="en-US"/>
        </w:rPr>
        <w:t>.</w:t>
      </w:r>
      <w:r w:rsidRPr="00174674">
        <w:rPr>
          <w:rFonts w:ascii="Times New Roman" w:hAnsi="Times New Roman" w:cs="Times New Roman"/>
          <w:sz w:val="24"/>
          <w:szCs w:val="24"/>
          <w:lang w:val="en-US"/>
        </w:rPr>
        <w:t xml:space="preserve"> </w:t>
      </w:r>
      <w:r w:rsidR="00071911" w:rsidRPr="00174674">
        <w:rPr>
          <w:rFonts w:ascii="Times New Roman" w:hAnsi="Times New Roman" w:cs="Times New Roman"/>
          <w:sz w:val="24"/>
          <w:szCs w:val="24"/>
          <w:lang w:val="en-US"/>
        </w:rPr>
        <w:t>In addition,</w:t>
      </w:r>
      <w:r w:rsidR="00772D1E" w:rsidRPr="00174674">
        <w:rPr>
          <w:rFonts w:ascii="Times New Roman" w:hAnsi="Times New Roman" w:cs="Times New Roman"/>
          <w:sz w:val="24"/>
          <w:szCs w:val="24"/>
          <w:lang w:val="en-US"/>
        </w:rPr>
        <w:t xml:space="preserve"> the </w:t>
      </w:r>
      <w:r w:rsidR="00071911" w:rsidRPr="00174674">
        <w:rPr>
          <w:rFonts w:ascii="Times New Roman" w:hAnsi="Times New Roman" w:cs="Times New Roman"/>
          <w:sz w:val="24"/>
          <w:szCs w:val="24"/>
          <w:lang w:val="en-US"/>
        </w:rPr>
        <w:t>CEC remained responsible for monitoring electoral repor</w:t>
      </w:r>
      <w:r w:rsidR="00F14910" w:rsidRPr="00174674">
        <w:rPr>
          <w:rFonts w:ascii="Times New Roman" w:hAnsi="Times New Roman" w:cs="Times New Roman"/>
          <w:sz w:val="24"/>
          <w:szCs w:val="24"/>
          <w:lang w:val="en-US"/>
        </w:rPr>
        <w:t>t; however, its mandate covers</w:t>
      </w:r>
      <w:r w:rsidR="00071911" w:rsidRPr="00174674">
        <w:rPr>
          <w:rFonts w:ascii="Times New Roman" w:hAnsi="Times New Roman" w:cs="Times New Roman"/>
          <w:sz w:val="24"/>
          <w:szCs w:val="24"/>
          <w:lang w:val="en-US"/>
        </w:rPr>
        <w:t xml:space="preserve"> only technical analysis of reports, while </w:t>
      </w:r>
      <w:r w:rsidR="00F14910" w:rsidRPr="00174674">
        <w:rPr>
          <w:rFonts w:ascii="Times New Roman" w:hAnsi="Times New Roman" w:cs="Times New Roman"/>
          <w:sz w:val="24"/>
          <w:szCs w:val="24"/>
          <w:lang w:val="en-US"/>
        </w:rPr>
        <w:t xml:space="preserve">the </w:t>
      </w:r>
      <w:r w:rsidR="00071911" w:rsidRPr="00174674">
        <w:rPr>
          <w:rFonts w:ascii="Times New Roman" w:hAnsi="Times New Roman" w:cs="Times New Roman"/>
          <w:sz w:val="24"/>
          <w:szCs w:val="24"/>
          <w:lang w:val="en-US"/>
        </w:rPr>
        <w:t>NAPC became responsible for</w:t>
      </w:r>
      <w:r w:rsidR="00F14910" w:rsidRPr="00174674">
        <w:rPr>
          <w:rFonts w:ascii="Times New Roman" w:hAnsi="Times New Roman" w:cs="Times New Roman"/>
          <w:sz w:val="24"/>
          <w:szCs w:val="24"/>
          <w:lang w:val="en-US"/>
        </w:rPr>
        <w:t xml:space="preserve"> their</w:t>
      </w:r>
      <w:r w:rsidR="00071911" w:rsidRPr="00174674">
        <w:rPr>
          <w:rFonts w:ascii="Times New Roman" w:hAnsi="Times New Roman" w:cs="Times New Roman"/>
          <w:sz w:val="24"/>
          <w:szCs w:val="24"/>
          <w:lang w:val="en-US"/>
        </w:rPr>
        <w:t xml:space="preserve"> in-depth analysis. </w:t>
      </w:r>
    </w:p>
    <w:p w:rsidR="007E2036" w:rsidRPr="00174674" w:rsidRDefault="007E2036"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While the law defined rather broad mandate of </w:t>
      </w:r>
      <w:r w:rsidR="00E01060"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NAPC regarding control over political finance, it also put some obstacles to its effective performance in this area. First, as anti-corruption body,</w:t>
      </w:r>
      <w:r w:rsidR="00E01060" w:rsidRPr="00174674">
        <w:rPr>
          <w:rFonts w:ascii="Times New Roman" w:hAnsi="Times New Roman" w:cs="Times New Roman"/>
          <w:sz w:val="24"/>
          <w:szCs w:val="24"/>
          <w:lang w:val="en-US"/>
        </w:rPr>
        <w:t xml:space="preserve"> the</w:t>
      </w:r>
      <w:r w:rsidRPr="00174674">
        <w:rPr>
          <w:rFonts w:ascii="Times New Roman" w:hAnsi="Times New Roman" w:cs="Times New Roman"/>
          <w:sz w:val="24"/>
          <w:szCs w:val="24"/>
          <w:lang w:val="en-US"/>
        </w:rPr>
        <w:t xml:space="preserve"> NAPC is also responsible for reviewing electronic declarations of incomes and assets of civil servants, as well as developing state anti-corruption policy, monitoring </w:t>
      </w:r>
      <w:r w:rsidR="00E01060" w:rsidRPr="00174674">
        <w:rPr>
          <w:rFonts w:ascii="Times New Roman" w:hAnsi="Times New Roman" w:cs="Times New Roman"/>
          <w:sz w:val="24"/>
          <w:szCs w:val="24"/>
          <w:lang w:val="en-US"/>
        </w:rPr>
        <w:t xml:space="preserve">instances of </w:t>
      </w:r>
      <w:r w:rsidRPr="00174674">
        <w:rPr>
          <w:rFonts w:ascii="Times New Roman" w:hAnsi="Times New Roman" w:cs="Times New Roman"/>
          <w:sz w:val="24"/>
          <w:szCs w:val="24"/>
          <w:lang w:val="en-US"/>
        </w:rPr>
        <w:t xml:space="preserve">conflict of interest, </w:t>
      </w:r>
      <w:r w:rsidR="00E01060" w:rsidRPr="00174674">
        <w:rPr>
          <w:rFonts w:ascii="Times New Roman" w:hAnsi="Times New Roman" w:cs="Times New Roman"/>
          <w:sz w:val="24"/>
          <w:szCs w:val="24"/>
          <w:lang w:val="en-US"/>
        </w:rPr>
        <w:t xml:space="preserve">and </w:t>
      </w:r>
      <w:r w:rsidRPr="00174674">
        <w:rPr>
          <w:rFonts w:ascii="Times New Roman" w:hAnsi="Times New Roman" w:cs="Times New Roman"/>
          <w:sz w:val="24"/>
          <w:szCs w:val="24"/>
          <w:lang w:val="en-US"/>
        </w:rPr>
        <w:t xml:space="preserve">protecting whistleblowers. Therefore, political finance is only a part of </w:t>
      </w:r>
      <w:r w:rsidR="00E01060"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 xml:space="preserve">NAPC mandate that is significantly less visible than electronic declaration review, which risks decreasing overall NAPC attention to the issues of party and candidate finance. </w:t>
      </w:r>
    </w:p>
    <w:p w:rsidR="007E2036" w:rsidRPr="00174674" w:rsidRDefault="007E2036"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lastRenderedPageBreak/>
        <w:t>In addition, while the largest bulk of work on political finance is managed by</w:t>
      </w:r>
      <w:r w:rsidR="00E01060" w:rsidRPr="00174674">
        <w:rPr>
          <w:rFonts w:ascii="Times New Roman" w:hAnsi="Times New Roman" w:cs="Times New Roman"/>
          <w:sz w:val="24"/>
          <w:szCs w:val="24"/>
          <w:lang w:val="en-US"/>
        </w:rPr>
        <w:t xml:space="preserve"> the</w:t>
      </w:r>
      <w:r w:rsidRPr="00174674">
        <w:rPr>
          <w:rFonts w:ascii="Times New Roman" w:hAnsi="Times New Roman" w:cs="Times New Roman"/>
          <w:sz w:val="24"/>
          <w:szCs w:val="24"/>
          <w:lang w:val="en-US"/>
        </w:rPr>
        <w:t xml:space="preserve"> NAPC department on prevention of political corruption, final decision on results of its work is made by four NAPC members</w:t>
      </w:r>
      <w:r w:rsidRPr="00174674">
        <w:rPr>
          <w:rStyle w:val="FootnoteReference"/>
          <w:rFonts w:ascii="Times New Roman" w:hAnsi="Times New Roman" w:cs="Times New Roman"/>
          <w:sz w:val="24"/>
          <w:szCs w:val="24"/>
          <w:lang w:val="en-US"/>
        </w:rPr>
        <w:footnoteReference w:id="7"/>
      </w:r>
      <w:r w:rsidRPr="00174674">
        <w:rPr>
          <w:rFonts w:ascii="Times New Roman" w:hAnsi="Times New Roman" w:cs="Times New Roman"/>
          <w:sz w:val="24"/>
          <w:szCs w:val="24"/>
          <w:lang w:val="en-US"/>
        </w:rPr>
        <w:t xml:space="preserve">, only one of which is directly responsible for political finance issues. Problematic nature of such arrangement has been already </w:t>
      </w:r>
      <w:r w:rsidR="00E01060" w:rsidRPr="00174674">
        <w:rPr>
          <w:rFonts w:ascii="Times New Roman" w:hAnsi="Times New Roman" w:cs="Times New Roman"/>
          <w:sz w:val="24"/>
          <w:szCs w:val="24"/>
          <w:lang w:val="en-US"/>
        </w:rPr>
        <w:t>showcased by</w:t>
      </w:r>
      <w:r w:rsidR="00074154" w:rsidRPr="00174674">
        <w:rPr>
          <w:rFonts w:ascii="Times New Roman" w:hAnsi="Times New Roman" w:cs="Times New Roman"/>
          <w:sz w:val="24"/>
          <w:szCs w:val="24"/>
          <w:lang w:val="en-US"/>
        </w:rPr>
        <w:t xml:space="preserve"> personal conflict</w:t>
      </w:r>
      <w:r w:rsidR="00E01060" w:rsidRPr="00174674">
        <w:rPr>
          <w:rFonts w:ascii="Times New Roman" w:hAnsi="Times New Roman" w:cs="Times New Roman"/>
          <w:sz w:val="24"/>
          <w:szCs w:val="24"/>
          <w:lang w:val="en-US"/>
        </w:rPr>
        <w:t>s</w:t>
      </w:r>
      <w:r w:rsidR="00074154" w:rsidRPr="00174674">
        <w:rPr>
          <w:rFonts w:ascii="Times New Roman" w:hAnsi="Times New Roman" w:cs="Times New Roman"/>
          <w:sz w:val="24"/>
          <w:szCs w:val="24"/>
          <w:lang w:val="en-US"/>
        </w:rPr>
        <w:t xml:space="preserve"> among </w:t>
      </w:r>
      <w:r w:rsidR="00E01060" w:rsidRPr="00174674">
        <w:rPr>
          <w:rFonts w:ascii="Times New Roman" w:hAnsi="Times New Roman" w:cs="Times New Roman"/>
          <w:sz w:val="24"/>
          <w:szCs w:val="24"/>
          <w:lang w:val="en-US"/>
        </w:rPr>
        <w:t xml:space="preserve">the </w:t>
      </w:r>
      <w:r w:rsidR="00074154" w:rsidRPr="00174674">
        <w:rPr>
          <w:rFonts w:ascii="Times New Roman" w:hAnsi="Times New Roman" w:cs="Times New Roman"/>
          <w:sz w:val="24"/>
          <w:szCs w:val="24"/>
          <w:lang w:val="en-US"/>
        </w:rPr>
        <w:t xml:space="preserve">NAPC members who often split in two during important votes. </w:t>
      </w:r>
      <w:r w:rsidR="00E01060" w:rsidRPr="00174674">
        <w:rPr>
          <w:rFonts w:ascii="Times New Roman" w:hAnsi="Times New Roman" w:cs="Times New Roman"/>
          <w:sz w:val="24"/>
          <w:szCs w:val="24"/>
          <w:lang w:val="en-US"/>
        </w:rPr>
        <w:t>For instance, t</w:t>
      </w:r>
      <w:r w:rsidR="00074154" w:rsidRPr="00174674">
        <w:rPr>
          <w:rFonts w:ascii="Times New Roman" w:hAnsi="Times New Roman" w:cs="Times New Roman"/>
          <w:sz w:val="24"/>
          <w:szCs w:val="24"/>
          <w:lang w:val="en-US"/>
        </w:rPr>
        <w:t xml:space="preserve">his was the reason behind inability of </w:t>
      </w:r>
      <w:r w:rsidR="00E01060" w:rsidRPr="00174674">
        <w:rPr>
          <w:rFonts w:ascii="Times New Roman" w:hAnsi="Times New Roman" w:cs="Times New Roman"/>
          <w:sz w:val="24"/>
          <w:szCs w:val="24"/>
          <w:lang w:val="en-US"/>
        </w:rPr>
        <w:t xml:space="preserve">the </w:t>
      </w:r>
      <w:r w:rsidR="00074154" w:rsidRPr="00174674">
        <w:rPr>
          <w:rFonts w:ascii="Times New Roman" w:hAnsi="Times New Roman" w:cs="Times New Roman"/>
          <w:sz w:val="24"/>
          <w:szCs w:val="24"/>
          <w:lang w:val="en-US"/>
        </w:rPr>
        <w:t xml:space="preserve">NAPC to initiate criminal proceeding against </w:t>
      </w:r>
      <w:proofErr w:type="spellStart"/>
      <w:r w:rsidR="00074154" w:rsidRPr="00174674">
        <w:rPr>
          <w:rFonts w:ascii="Times New Roman" w:hAnsi="Times New Roman" w:cs="Times New Roman"/>
          <w:i/>
          <w:sz w:val="24"/>
          <w:szCs w:val="24"/>
          <w:lang w:val="en-US"/>
        </w:rPr>
        <w:t>Batkivshchyna</w:t>
      </w:r>
      <w:proofErr w:type="spellEnd"/>
      <w:r w:rsidR="00E01060" w:rsidRPr="00174674">
        <w:rPr>
          <w:rFonts w:ascii="Times New Roman" w:hAnsi="Times New Roman" w:cs="Times New Roman"/>
          <w:i/>
          <w:sz w:val="24"/>
          <w:szCs w:val="24"/>
          <w:lang w:val="en-US"/>
        </w:rPr>
        <w:t xml:space="preserve"> </w:t>
      </w:r>
      <w:r w:rsidR="00E01060" w:rsidRPr="00174674">
        <w:rPr>
          <w:rFonts w:ascii="Times New Roman" w:hAnsi="Times New Roman" w:cs="Times New Roman"/>
          <w:sz w:val="24"/>
          <w:szCs w:val="24"/>
          <w:lang w:val="en-US"/>
        </w:rPr>
        <w:t>party</w:t>
      </w:r>
      <w:r w:rsidR="00074154" w:rsidRPr="00174674">
        <w:rPr>
          <w:rFonts w:ascii="Times New Roman" w:hAnsi="Times New Roman" w:cs="Times New Roman"/>
          <w:sz w:val="24"/>
          <w:szCs w:val="24"/>
          <w:lang w:val="en-US"/>
        </w:rPr>
        <w:t xml:space="preserve"> for reporting false donations in its report.</w:t>
      </w:r>
    </w:p>
    <w:p w:rsidR="00074154" w:rsidRPr="00174674" w:rsidRDefault="00074154" w:rsidP="00C03A08">
      <w:pPr>
        <w:spacing w:after="120" w:line="240" w:lineRule="auto"/>
        <w:ind w:firstLine="426"/>
        <w:jc w:val="both"/>
        <w:rPr>
          <w:rFonts w:ascii="Times New Roman" w:hAnsi="Times New Roman" w:cs="Times New Roman"/>
          <w:sz w:val="24"/>
          <w:szCs w:val="24"/>
          <w:lang w:val="uk-UA"/>
        </w:rPr>
      </w:pPr>
      <w:r w:rsidRPr="00174674">
        <w:rPr>
          <w:rFonts w:ascii="Times New Roman" w:hAnsi="Times New Roman" w:cs="Times New Roman"/>
          <w:sz w:val="24"/>
          <w:szCs w:val="24"/>
          <w:lang w:val="en-US"/>
        </w:rPr>
        <w:t>On the other hand,</w:t>
      </w:r>
      <w:r w:rsidR="00E01060" w:rsidRPr="00174674">
        <w:rPr>
          <w:rFonts w:ascii="Times New Roman" w:hAnsi="Times New Roman" w:cs="Times New Roman"/>
          <w:sz w:val="24"/>
          <w:szCs w:val="24"/>
          <w:lang w:val="en-US"/>
        </w:rPr>
        <w:t xml:space="preserve"> the</w:t>
      </w:r>
      <w:r w:rsidRPr="00174674">
        <w:rPr>
          <w:rFonts w:ascii="Times New Roman" w:hAnsi="Times New Roman" w:cs="Times New Roman"/>
          <w:sz w:val="24"/>
          <w:szCs w:val="24"/>
          <w:lang w:val="en-US"/>
        </w:rPr>
        <w:t xml:space="preserve"> NAPC lacks several important legal instruments to realize its powers in the area of political finance. First, it has no effective means to access several important state registers owned by other government bodies, such as the Ministry of Justice or the State Fiscal Service. Similarly, and unlike </w:t>
      </w:r>
      <w:r w:rsidR="00E01060"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CEC, it has no ability to access bank accounts of parties and candidates, further complicating proper analysis</w:t>
      </w:r>
      <w:r w:rsidR="00FD3177" w:rsidRPr="00174674">
        <w:rPr>
          <w:rFonts w:ascii="Times New Roman" w:hAnsi="Times New Roman" w:cs="Times New Roman"/>
          <w:sz w:val="24"/>
          <w:szCs w:val="24"/>
          <w:lang w:val="en-US"/>
        </w:rPr>
        <w:t xml:space="preserve"> of their reports</w:t>
      </w:r>
      <w:r w:rsidRPr="00174674">
        <w:rPr>
          <w:rFonts w:ascii="Times New Roman" w:hAnsi="Times New Roman" w:cs="Times New Roman"/>
          <w:sz w:val="24"/>
          <w:szCs w:val="24"/>
          <w:lang w:val="en-US"/>
        </w:rPr>
        <w:t>. As a result, much depends on ability of</w:t>
      </w:r>
      <w:r w:rsidR="00FD3177" w:rsidRPr="00174674">
        <w:rPr>
          <w:rFonts w:ascii="Times New Roman" w:hAnsi="Times New Roman" w:cs="Times New Roman"/>
          <w:sz w:val="24"/>
          <w:szCs w:val="24"/>
          <w:lang w:val="en-US"/>
        </w:rPr>
        <w:t xml:space="preserve"> the</w:t>
      </w:r>
      <w:r w:rsidRPr="00174674">
        <w:rPr>
          <w:rFonts w:ascii="Times New Roman" w:hAnsi="Times New Roman" w:cs="Times New Roman"/>
          <w:sz w:val="24"/>
          <w:szCs w:val="24"/>
          <w:lang w:val="en-US"/>
        </w:rPr>
        <w:t xml:space="preserve"> NAPC to establish working relations with other state bodies. So far, NAPC has been only party successful in this task by engaging in fruitful cooperation with </w:t>
      </w:r>
      <w:r w:rsidR="00FD3177"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CEC. At the same</w:t>
      </w:r>
      <w:r w:rsidR="00FD3177" w:rsidRPr="00174674">
        <w:rPr>
          <w:rFonts w:ascii="Times New Roman" w:hAnsi="Times New Roman" w:cs="Times New Roman"/>
          <w:sz w:val="24"/>
          <w:szCs w:val="24"/>
          <w:lang w:val="en-US"/>
        </w:rPr>
        <w:t xml:space="preserve"> time</w:t>
      </w:r>
      <w:r w:rsidRPr="00174674">
        <w:rPr>
          <w:rFonts w:ascii="Times New Roman" w:hAnsi="Times New Roman" w:cs="Times New Roman"/>
          <w:sz w:val="24"/>
          <w:szCs w:val="24"/>
          <w:lang w:val="en-US"/>
        </w:rPr>
        <w:t xml:space="preserve">, the Ministry of Justice has recently blamed </w:t>
      </w:r>
      <w:r w:rsidR="00FD3177"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NAPC for failing to</w:t>
      </w:r>
      <w:r w:rsidR="00FD3177" w:rsidRPr="00174674">
        <w:rPr>
          <w:rFonts w:ascii="Times New Roman" w:hAnsi="Times New Roman" w:cs="Times New Roman"/>
          <w:sz w:val="24"/>
          <w:szCs w:val="24"/>
          <w:lang w:val="en-US"/>
        </w:rPr>
        <w:t xml:space="preserve"> properly</w:t>
      </w:r>
      <w:r w:rsidRPr="00174674">
        <w:rPr>
          <w:rFonts w:ascii="Times New Roman" w:hAnsi="Times New Roman" w:cs="Times New Roman"/>
          <w:sz w:val="24"/>
          <w:szCs w:val="24"/>
          <w:lang w:val="en-US"/>
        </w:rPr>
        <w:t xml:space="preserve"> analyze electronic decl</w:t>
      </w:r>
      <w:r w:rsidR="00FD3177" w:rsidRPr="00174674">
        <w:rPr>
          <w:rFonts w:ascii="Times New Roman" w:hAnsi="Times New Roman" w:cs="Times New Roman"/>
          <w:sz w:val="24"/>
          <w:szCs w:val="24"/>
          <w:lang w:val="en-US"/>
        </w:rPr>
        <w:t>arations of civil servants and developed</w:t>
      </w:r>
      <w:r w:rsidRPr="00174674">
        <w:rPr>
          <w:rFonts w:ascii="Times New Roman" w:hAnsi="Times New Roman" w:cs="Times New Roman"/>
          <w:sz w:val="24"/>
          <w:szCs w:val="24"/>
          <w:lang w:val="en-US"/>
        </w:rPr>
        <w:t xml:space="preserve"> a bill that would dismiss all NAPC members and recruit new ones, putting the </w:t>
      </w:r>
      <w:r w:rsidR="00FD3177" w:rsidRPr="00174674">
        <w:rPr>
          <w:rFonts w:ascii="Times New Roman" w:hAnsi="Times New Roman" w:cs="Times New Roman"/>
          <w:sz w:val="24"/>
          <w:szCs w:val="24"/>
          <w:lang w:val="en-US"/>
        </w:rPr>
        <w:t>future of the NAPC</w:t>
      </w:r>
      <w:r w:rsidRPr="00174674">
        <w:rPr>
          <w:rFonts w:ascii="Times New Roman" w:hAnsi="Times New Roman" w:cs="Times New Roman"/>
          <w:sz w:val="24"/>
          <w:szCs w:val="24"/>
          <w:lang w:val="en-US"/>
        </w:rPr>
        <w:t xml:space="preserve"> at risk.</w:t>
      </w:r>
    </w:p>
    <w:p w:rsidR="004E39D1" w:rsidRPr="00174674" w:rsidRDefault="00074154"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Human resources available for</w:t>
      </w:r>
      <w:r w:rsidR="00F65757" w:rsidRPr="00174674">
        <w:rPr>
          <w:rFonts w:ascii="Times New Roman" w:hAnsi="Times New Roman" w:cs="Times New Roman"/>
          <w:sz w:val="24"/>
          <w:szCs w:val="24"/>
          <w:lang w:val="en-US"/>
        </w:rPr>
        <w:t xml:space="preserve"> the</w:t>
      </w:r>
      <w:r w:rsidRPr="00174674">
        <w:rPr>
          <w:rFonts w:ascii="Times New Roman" w:hAnsi="Times New Roman" w:cs="Times New Roman"/>
          <w:sz w:val="24"/>
          <w:szCs w:val="24"/>
          <w:lang w:val="en-US"/>
        </w:rPr>
        <w:t xml:space="preserve"> NAPC department on prevention of pol</w:t>
      </w:r>
      <w:r w:rsidR="00F65757" w:rsidRPr="00174674">
        <w:rPr>
          <w:rFonts w:ascii="Times New Roman" w:hAnsi="Times New Roman" w:cs="Times New Roman"/>
          <w:sz w:val="24"/>
          <w:szCs w:val="24"/>
          <w:lang w:val="en-US"/>
        </w:rPr>
        <w:t>itical corruption</w:t>
      </w:r>
      <w:r w:rsidRPr="00174674">
        <w:rPr>
          <w:rFonts w:ascii="Times New Roman" w:hAnsi="Times New Roman" w:cs="Times New Roman"/>
          <w:sz w:val="24"/>
          <w:szCs w:val="24"/>
          <w:lang w:val="en-US"/>
        </w:rPr>
        <w:t xml:space="preserve"> are also </w:t>
      </w:r>
      <w:r w:rsidR="00F65757" w:rsidRPr="00174674">
        <w:rPr>
          <w:rFonts w:ascii="Times New Roman" w:hAnsi="Times New Roman" w:cs="Times New Roman"/>
          <w:sz w:val="24"/>
          <w:szCs w:val="24"/>
          <w:lang w:val="en-US"/>
        </w:rPr>
        <w:t>rather limited</w:t>
      </w:r>
      <w:r w:rsidR="00071911" w:rsidRPr="00174674">
        <w:rPr>
          <w:rFonts w:ascii="Times New Roman" w:hAnsi="Times New Roman" w:cs="Times New Roman"/>
          <w:sz w:val="24"/>
          <w:szCs w:val="24"/>
          <w:lang w:val="en-US"/>
        </w:rPr>
        <w:t xml:space="preserve">. </w:t>
      </w:r>
      <w:r w:rsidRPr="00174674">
        <w:rPr>
          <w:rFonts w:ascii="Times New Roman" w:hAnsi="Times New Roman" w:cs="Times New Roman"/>
          <w:sz w:val="24"/>
          <w:szCs w:val="24"/>
          <w:lang w:val="en-US"/>
        </w:rPr>
        <w:t>As of June 2017, the department</w:t>
      </w:r>
      <w:r w:rsidR="004E39D1" w:rsidRPr="00174674">
        <w:rPr>
          <w:rFonts w:ascii="Times New Roman" w:hAnsi="Times New Roman" w:cs="Times New Roman"/>
          <w:sz w:val="24"/>
          <w:szCs w:val="24"/>
          <w:lang w:val="en-US"/>
        </w:rPr>
        <w:t xml:space="preserve"> had only 16 out of 23 employees, as the recruitment process has taken much longer than expected. </w:t>
      </w:r>
      <w:r w:rsidRPr="00174674">
        <w:rPr>
          <w:rFonts w:ascii="Times New Roman" w:hAnsi="Times New Roman" w:cs="Times New Roman"/>
          <w:sz w:val="24"/>
          <w:szCs w:val="24"/>
          <w:lang w:val="en-US"/>
        </w:rPr>
        <w:t xml:space="preserve">Furthermore, even </w:t>
      </w:r>
      <w:r w:rsidR="004E39D1" w:rsidRPr="00174674">
        <w:rPr>
          <w:rFonts w:ascii="Times New Roman" w:hAnsi="Times New Roman" w:cs="Times New Roman"/>
          <w:sz w:val="24"/>
          <w:szCs w:val="24"/>
          <w:lang w:val="en-US"/>
        </w:rPr>
        <w:t>when the department is fully stuffed, number of its work</w:t>
      </w:r>
      <w:r w:rsidR="00F65757" w:rsidRPr="00174674">
        <w:rPr>
          <w:rFonts w:ascii="Times New Roman" w:hAnsi="Times New Roman" w:cs="Times New Roman"/>
          <w:sz w:val="24"/>
          <w:szCs w:val="24"/>
          <w:lang w:val="en-US"/>
        </w:rPr>
        <w:t xml:space="preserve">ers, most likely, </w:t>
      </w:r>
      <w:r w:rsidR="004E39D1" w:rsidRPr="00174674">
        <w:rPr>
          <w:rFonts w:ascii="Times New Roman" w:hAnsi="Times New Roman" w:cs="Times New Roman"/>
          <w:sz w:val="24"/>
          <w:szCs w:val="24"/>
          <w:lang w:val="en-US"/>
        </w:rPr>
        <w:t>will be not enough to perform proper and timely analysis of reports of more than 300 parties officially registered in Ukraine.</w:t>
      </w:r>
    </w:p>
    <w:p w:rsidR="00472975" w:rsidRDefault="00472975" w:rsidP="00C03A08">
      <w:pPr>
        <w:spacing w:after="120" w:line="240" w:lineRule="auto"/>
        <w:ind w:firstLine="426"/>
        <w:jc w:val="both"/>
        <w:rPr>
          <w:rFonts w:ascii="Sylfaen" w:hAnsi="Sylfaen" w:cs="Times New Roman"/>
          <w:sz w:val="24"/>
          <w:szCs w:val="24"/>
          <w:lang w:val="ka-GE"/>
        </w:rPr>
      </w:pPr>
      <w:r w:rsidRPr="00174674">
        <w:rPr>
          <w:rFonts w:ascii="Times New Roman" w:hAnsi="Times New Roman" w:cs="Times New Roman"/>
          <w:sz w:val="24"/>
          <w:szCs w:val="24"/>
          <w:lang w:val="en-US"/>
        </w:rPr>
        <w:t xml:space="preserve">Finally, while </w:t>
      </w:r>
      <w:r w:rsidR="00F65757"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 xml:space="preserve">NAPC has the right to investigate </w:t>
      </w:r>
      <w:r w:rsidR="00095A90" w:rsidRPr="00174674">
        <w:rPr>
          <w:rFonts w:ascii="Times New Roman" w:hAnsi="Times New Roman" w:cs="Times New Roman"/>
          <w:sz w:val="24"/>
          <w:szCs w:val="24"/>
          <w:lang w:val="en-US"/>
        </w:rPr>
        <w:t xml:space="preserve">violations of political finance rules and initiative administrative and criminal proceedings, it lacks the authority to impose sanctions, which can be done only by courts. According to the intentions of the law on political finance authors, such choice was motivated by fears of giving the NAPC too </w:t>
      </w:r>
      <w:r w:rsidR="00B40869" w:rsidRPr="00174674">
        <w:rPr>
          <w:rFonts w:ascii="Times New Roman" w:hAnsi="Times New Roman" w:cs="Times New Roman"/>
          <w:sz w:val="24"/>
          <w:szCs w:val="24"/>
          <w:lang w:val="en-US"/>
        </w:rPr>
        <w:t>many powers</w:t>
      </w:r>
      <w:r w:rsidR="00095A90" w:rsidRPr="00174674">
        <w:rPr>
          <w:rFonts w:ascii="Times New Roman" w:hAnsi="Times New Roman" w:cs="Times New Roman"/>
          <w:sz w:val="24"/>
          <w:szCs w:val="24"/>
          <w:lang w:val="en-US"/>
        </w:rPr>
        <w:t xml:space="preserve"> that it could exploit for political purposes. However, </w:t>
      </w:r>
      <w:r w:rsidR="003F653D" w:rsidRPr="00174674">
        <w:rPr>
          <w:rFonts w:ascii="Times New Roman" w:hAnsi="Times New Roman" w:cs="Times New Roman"/>
          <w:sz w:val="24"/>
          <w:szCs w:val="24"/>
          <w:lang w:val="en-US"/>
        </w:rPr>
        <w:t>lack of</w:t>
      </w:r>
      <w:r w:rsidR="00F65757" w:rsidRPr="00174674">
        <w:rPr>
          <w:rFonts w:ascii="Times New Roman" w:hAnsi="Times New Roman" w:cs="Times New Roman"/>
          <w:sz w:val="24"/>
          <w:szCs w:val="24"/>
          <w:lang w:val="en-US"/>
        </w:rPr>
        <w:t xml:space="preserve"> the</w:t>
      </w:r>
      <w:r w:rsidR="003F653D" w:rsidRPr="00174674">
        <w:rPr>
          <w:rFonts w:ascii="Times New Roman" w:hAnsi="Times New Roman" w:cs="Times New Roman"/>
          <w:sz w:val="24"/>
          <w:szCs w:val="24"/>
          <w:lang w:val="en-US"/>
        </w:rPr>
        <w:t xml:space="preserve"> NAPC mandate to impose sanctions could frustrate its activities and significantly protract the process of </w:t>
      </w:r>
      <w:r w:rsidR="00F65757" w:rsidRPr="00174674">
        <w:rPr>
          <w:rFonts w:ascii="Times New Roman" w:hAnsi="Times New Roman" w:cs="Times New Roman"/>
          <w:sz w:val="24"/>
          <w:szCs w:val="24"/>
          <w:lang w:val="en-US"/>
        </w:rPr>
        <w:t xml:space="preserve">bringing </w:t>
      </w:r>
      <w:r w:rsidR="003F653D" w:rsidRPr="00174674">
        <w:rPr>
          <w:rFonts w:ascii="Times New Roman" w:hAnsi="Times New Roman" w:cs="Times New Roman"/>
          <w:sz w:val="24"/>
          <w:szCs w:val="24"/>
          <w:lang w:val="en-US"/>
        </w:rPr>
        <w:t xml:space="preserve">violators of political finance rules </w:t>
      </w:r>
      <w:r w:rsidR="00F65757" w:rsidRPr="00174674">
        <w:rPr>
          <w:rFonts w:ascii="Times New Roman" w:hAnsi="Times New Roman" w:cs="Times New Roman"/>
          <w:sz w:val="24"/>
          <w:szCs w:val="24"/>
          <w:lang w:val="en-US"/>
        </w:rPr>
        <w:t>to justice</w:t>
      </w:r>
      <w:r w:rsidR="00095A90" w:rsidRPr="00174674">
        <w:rPr>
          <w:rFonts w:ascii="Times New Roman" w:hAnsi="Times New Roman" w:cs="Times New Roman"/>
          <w:sz w:val="24"/>
          <w:szCs w:val="24"/>
          <w:lang w:val="en-US"/>
        </w:rPr>
        <w:t>.</w:t>
      </w:r>
    </w:p>
    <w:p w:rsidR="00174674" w:rsidRPr="00174674" w:rsidRDefault="00174674" w:rsidP="00C03A08">
      <w:pPr>
        <w:spacing w:after="120" w:line="240" w:lineRule="auto"/>
        <w:ind w:firstLine="426"/>
        <w:jc w:val="both"/>
        <w:rPr>
          <w:rFonts w:ascii="Sylfaen" w:hAnsi="Sylfaen" w:cs="Times New Roman"/>
          <w:sz w:val="24"/>
          <w:szCs w:val="24"/>
          <w:lang w:val="ka-GE"/>
        </w:rPr>
      </w:pPr>
    </w:p>
    <w:p w:rsidR="00074154" w:rsidRPr="00174674" w:rsidRDefault="00616C69" w:rsidP="00C03A08">
      <w:pPr>
        <w:spacing w:after="120" w:line="240" w:lineRule="auto"/>
        <w:ind w:firstLine="426"/>
        <w:jc w:val="both"/>
        <w:rPr>
          <w:rFonts w:ascii="Times New Roman" w:hAnsi="Times New Roman" w:cs="Times New Roman"/>
          <w:b/>
          <w:i/>
          <w:sz w:val="24"/>
          <w:szCs w:val="24"/>
          <w:lang w:val="en-US"/>
        </w:rPr>
      </w:pPr>
      <w:r w:rsidRPr="00174674">
        <w:rPr>
          <w:rFonts w:ascii="Times New Roman" w:hAnsi="Times New Roman" w:cs="Times New Roman"/>
          <w:b/>
          <w:i/>
          <w:sz w:val="24"/>
          <w:szCs w:val="24"/>
          <w:lang w:val="en-US"/>
        </w:rPr>
        <w:t>Sanctions</w:t>
      </w:r>
    </w:p>
    <w:p w:rsidR="00616C69" w:rsidRPr="00174674" w:rsidRDefault="00616C69"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Tightening sanctions for non-compliance with the new rules of political finance was one of the most hotly contested aspects of the new law. Before the final vote in </w:t>
      </w:r>
      <w:proofErr w:type="spellStart"/>
      <w:r w:rsidRPr="00174674">
        <w:rPr>
          <w:rFonts w:ascii="Times New Roman" w:hAnsi="Times New Roman" w:cs="Times New Roman"/>
          <w:sz w:val="24"/>
          <w:szCs w:val="24"/>
          <w:lang w:val="en-US"/>
        </w:rPr>
        <w:t>Verkhovna</w:t>
      </w:r>
      <w:proofErr w:type="spellEnd"/>
      <w:r w:rsidRPr="00174674">
        <w:rPr>
          <w:rFonts w:ascii="Times New Roman" w:hAnsi="Times New Roman" w:cs="Times New Roman"/>
          <w:sz w:val="24"/>
          <w:szCs w:val="24"/>
          <w:lang w:val="en-US"/>
        </w:rPr>
        <w:t xml:space="preserve"> </w:t>
      </w:r>
      <w:proofErr w:type="spellStart"/>
      <w:r w:rsidRPr="00174674">
        <w:rPr>
          <w:rFonts w:ascii="Times New Roman" w:hAnsi="Times New Roman" w:cs="Times New Roman"/>
          <w:sz w:val="24"/>
          <w:szCs w:val="24"/>
          <w:lang w:val="en-US"/>
        </w:rPr>
        <w:t>Rada</w:t>
      </w:r>
      <w:proofErr w:type="spellEnd"/>
      <w:r w:rsidRPr="00174674">
        <w:rPr>
          <w:rFonts w:ascii="Times New Roman" w:hAnsi="Times New Roman" w:cs="Times New Roman"/>
          <w:sz w:val="24"/>
          <w:szCs w:val="24"/>
          <w:lang w:val="en-US"/>
        </w:rPr>
        <w:t xml:space="preserve">, the parliamentary committee relaxed sanctions for some </w:t>
      </w:r>
      <w:r w:rsidR="005C11A4" w:rsidRPr="00174674">
        <w:rPr>
          <w:rFonts w:ascii="Times New Roman" w:hAnsi="Times New Roman" w:cs="Times New Roman"/>
          <w:sz w:val="24"/>
          <w:szCs w:val="24"/>
          <w:lang w:val="en-US"/>
        </w:rPr>
        <w:t>offences</w:t>
      </w:r>
      <w:r w:rsidRPr="00174674">
        <w:rPr>
          <w:rFonts w:ascii="Times New Roman" w:hAnsi="Times New Roman" w:cs="Times New Roman"/>
          <w:sz w:val="24"/>
          <w:szCs w:val="24"/>
          <w:lang w:val="en-US"/>
        </w:rPr>
        <w:t xml:space="preserve"> related to</w:t>
      </w:r>
      <w:r w:rsidR="00201F2C" w:rsidRPr="00174674">
        <w:rPr>
          <w:rFonts w:ascii="Times New Roman" w:hAnsi="Times New Roman" w:cs="Times New Roman"/>
          <w:sz w:val="24"/>
          <w:szCs w:val="24"/>
          <w:lang w:val="en-US"/>
        </w:rPr>
        <w:t xml:space="preserve"> financial</w:t>
      </w:r>
      <w:r w:rsidRPr="00174674">
        <w:rPr>
          <w:rFonts w:ascii="Times New Roman" w:hAnsi="Times New Roman" w:cs="Times New Roman"/>
          <w:sz w:val="24"/>
          <w:szCs w:val="24"/>
          <w:lang w:val="en-US"/>
        </w:rPr>
        <w:t xml:space="preserve"> transparency and rules on donations. Still, the new law provides both administrative and criminal liability for non-compliance with the new provision</w:t>
      </w:r>
      <w:r w:rsidR="00F167E7" w:rsidRPr="00174674">
        <w:rPr>
          <w:rFonts w:ascii="Times New Roman" w:hAnsi="Times New Roman" w:cs="Times New Roman"/>
          <w:sz w:val="24"/>
          <w:szCs w:val="24"/>
          <w:lang w:val="en-US"/>
        </w:rPr>
        <w:t>s</w:t>
      </w:r>
      <w:r w:rsidRPr="00174674">
        <w:rPr>
          <w:rFonts w:ascii="Times New Roman" w:hAnsi="Times New Roman" w:cs="Times New Roman"/>
          <w:sz w:val="24"/>
          <w:szCs w:val="24"/>
          <w:lang w:val="en-US"/>
        </w:rPr>
        <w:t>, which in general follows</w:t>
      </w:r>
      <w:r w:rsidR="00A36E59" w:rsidRPr="00174674">
        <w:rPr>
          <w:rFonts w:ascii="Times New Roman" w:hAnsi="Times New Roman" w:cs="Times New Roman"/>
          <w:sz w:val="24"/>
          <w:szCs w:val="24"/>
          <w:lang w:val="en-US"/>
        </w:rPr>
        <w:t xml:space="preserve"> the</w:t>
      </w:r>
      <w:r w:rsidRPr="00174674">
        <w:rPr>
          <w:rFonts w:ascii="Times New Roman" w:hAnsi="Times New Roman" w:cs="Times New Roman"/>
          <w:sz w:val="24"/>
          <w:szCs w:val="24"/>
          <w:lang w:val="en-US"/>
        </w:rPr>
        <w:t xml:space="preserve"> recommendations by GRECO</w:t>
      </w:r>
      <w:r w:rsidR="00F167E7" w:rsidRPr="00174674">
        <w:rPr>
          <w:rFonts w:ascii="Times New Roman" w:hAnsi="Times New Roman" w:cs="Times New Roman"/>
          <w:sz w:val="24"/>
          <w:szCs w:val="24"/>
          <w:lang w:val="en-US"/>
        </w:rPr>
        <w:t xml:space="preserve"> and OSCE/ODIHR</w:t>
      </w:r>
      <w:r w:rsidRPr="00174674">
        <w:rPr>
          <w:rFonts w:ascii="Times New Roman" w:hAnsi="Times New Roman" w:cs="Times New Roman"/>
          <w:sz w:val="24"/>
          <w:szCs w:val="24"/>
          <w:lang w:val="en-US"/>
        </w:rPr>
        <w:t>.</w:t>
      </w:r>
    </w:p>
    <w:p w:rsidR="00074154" w:rsidRPr="00174674" w:rsidRDefault="00616C69"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Although international guidelines on political finance</w:t>
      </w:r>
      <w:r w:rsidR="00674296" w:rsidRPr="00174674">
        <w:rPr>
          <w:rFonts w:ascii="Times New Roman" w:hAnsi="Times New Roman" w:cs="Times New Roman"/>
          <w:sz w:val="24"/>
          <w:szCs w:val="24"/>
          <w:lang w:val="en-US"/>
        </w:rPr>
        <w:t xml:space="preserve"> generally</w:t>
      </w:r>
      <w:r w:rsidRPr="00174674">
        <w:rPr>
          <w:rFonts w:ascii="Times New Roman" w:hAnsi="Times New Roman" w:cs="Times New Roman"/>
          <w:sz w:val="24"/>
          <w:szCs w:val="24"/>
          <w:lang w:val="en-US"/>
        </w:rPr>
        <w:t xml:space="preserve"> prefer administrative sanctions as more appropriate means of punishment, </w:t>
      </w:r>
      <w:r w:rsidR="000E1F18" w:rsidRPr="00174674">
        <w:rPr>
          <w:rFonts w:ascii="Times New Roman" w:hAnsi="Times New Roman" w:cs="Times New Roman"/>
          <w:sz w:val="24"/>
          <w:szCs w:val="24"/>
          <w:lang w:val="en-US"/>
        </w:rPr>
        <w:t xml:space="preserve">they are currently rather weak in Ukraine. For instance, non-submission of quarterly report could result in fine ranging from UAH 5,100 (EUR 174) to UAH 6,800 (EUR 232), which will hardly serve as effective deterrent against unwillingness of parties to submit reports. </w:t>
      </w:r>
      <w:r w:rsidR="003F653D" w:rsidRPr="00174674">
        <w:rPr>
          <w:rFonts w:ascii="Times New Roman" w:hAnsi="Times New Roman" w:cs="Times New Roman"/>
          <w:sz w:val="24"/>
          <w:szCs w:val="24"/>
          <w:lang w:val="en-US"/>
        </w:rPr>
        <w:t xml:space="preserve">Not surprisingly, around 100 parties have not submitted any reports since the new reporting system entered into force. </w:t>
      </w:r>
      <w:r w:rsidR="000E1F18" w:rsidRPr="00174674">
        <w:rPr>
          <w:rFonts w:ascii="Times New Roman" w:hAnsi="Times New Roman" w:cs="Times New Roman"/>
          <w:sz w:val="24"/>
          <w:szCs w:val="24"/>
          <w:lang w:val="en-US"/>
        </w:rPr>
        <w:t xml:space="preserve">Similarly, </w:t>
      </w:r>
      <w:r w:rsidR="00674296" w:rsidRPr="00174674">
        <w:rPr>
          <w:rFonts w:ascii="Times New Roman" w:hAnsi="Times New Roman" w:cs="Times New Roman"/>
          <w:sz w:val="24"/>
          <w:szCs w:val="24"/>
          <w:lang w:val="en-US"/>
        </w:rPr>
        <w:t>infringement</w:t>
      </w:r>
      <w:r w:rsidR="000E1F18" w:rsidRPr="00174674">
        <w:rPr>
          <w:rFonts w:ascii="Times New Roman" w:hAnsi="Times New Roman" w:cs="Times New Roman"/>
          <w:sz w:val="24"/>
          <w:szCs w:val="24"/>
          <w:lang w:val="en-US"/>
        </w:rPr>
        <w:t xml:space="preserve"> of rules </w:t>
      </w:r>
      <w:r w:rsidR="00945F92" w:rsidRPr="00174674">
        <w:rPr>
          <w:rFonts w:ascii="Times New Roman" w:hAnsi="Times New Roman" w:cs="Times New Roman"/>
          <w:sz w:val="24"/>
          <w:szCs w:val="24"/>
          <w:lang w:val="en-US"/>
        </w:rPr>
        <w:t>on</w:t>
      </w:r>
      <w:r w:rsidR="000E1F18" w:rsidRPr="00174674">
        <w:rPr>
          <w:rFonts w:ascii="Times New Roman" w:hAnsi="Times New Roman" w:cs="Times New Roman"/>
          <w:sz w:val="24"/>
          <w:szCs w:val="24"/>
          <w:lang w:val="en-US"/>
        </w:rPr>
        <w:t xml:space="preserve"> donation</w:t>
      </w:r>
      <w:r w:rsidR="00945F92" w:rsidRPr="00174674">
        <w:rPr>
          <w:rFonts w:ascii="Times New Roman" w:hAnsi="Times New Roman" w:cs="Times New Roman"/>
          <w:sz w:val="24"/>
          <w:szCs w:val="24"/>
          <w:lang w:val="en-US"/>
        </w:rPr>
        <w:t>s</w:t>
      </w:r>
      <w:r w:rsidR="000E1F18" w:rsidRPr="00174674">
        <w:rPr>
          <w:rFonts w:ascii="Times New Roman" w:hAnsi="Times New Roman" w:cs="Times New Roman"/>
          <w:sz w:val="24"/>
          <w:szCs w:val="24"/>
          <w:lang w:val="en-US"/>
        </w:rPr>
        <w:t xml:space="preserve"> to political party could be penalized by fine</w:t>
      </w:r>
      <w:r w:rsidR="00674296" w:rsidRPr="00174674">
        <w:rPr>
          <w:rFonts w:ascii="Times New Roman" w:hAnsi="Times New Roman" w:cs="Times New Roman"/>
          <w:sz w:val="24"/>
          <w:szCs w:val="24"/>
          <w:lang w:val="en-US"/>
        </w:rPr>
        <w:t xml:space="preserve"> only</w:t>
      </w:r>
      <w:r w:rsidR="000E1F18" w:rsidRPr="00174674">
        <w:rPr>
          <w:rFonts w:ascii="Times New Roman" w:hAnsi="Times New Roman" w:cs="Times New Roman"/>
          <w:sz w:val="24"/>
          <w:szCs w:val="24"/>
          <w:lang w:val="en-US"/>
        </w:rPr>
        <w:t xml:space="preserve"> up to UAH 2,210 (EUR 75). </w:t>
      </w:r>
    </w:p>
    <w:p w:rsidR="000E1F18" w:rsidRPr="00174674" w:rsidRDefault="000E1F18"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In addition, correlation between different types of violations and respective sanction</w:t>
      </w:r>
      <w:r w:rsidR="00945F92" w:rsidRPr="00174674">
        <w:rPr>
          <w:rFonts w:ascii="Times New Roman" w:hAnsi="Times New Roman" w:cs="Times New Roman"/>
          <w:sz w:val="24"/>
          <w:szCs w:val="24"/>
          <w:lang w:val="en-US"/>
        </w:rPr>
        <w:t>s</w:t>
      </w:r>
      <w:r w:rsidRPr="00174674">
        <w:rPr>
          <w:rFonts w:ascii="Times New Roman" w:hAnsi="Times New Roman" w:cs="Times New Roman"/>
          <w:sz w:val="24"/>
          <w:szCs w:val="24"/>
          <w:lang w:val="en-US"/>
        </w:rPr>
        <w:t xml:space="preserve"> sometimes seems problematic.</w:t>
      </w:r>
      <w:r w:rsidR="00945F92" w:rsidRPr="00174674">
        <w:rPr>
          <w:rFonts w:ascii="Times New Roman" w:hAnsi="Times New Roman" w:cs="Times New Roman"/>
          <w:sz w:val="24"/>
          <w:szCs w:val="24"/>
          <w:lang w:val="en-US"/>
        </w:rPr>
        <w:t xml:space="preserve"> For instance,</w:t>
      </w:r>
      <w:r w:rsidRPr="00174674">
        <w:rPr>
          <w:rFonts w:ascii="Times New Roman" w:hAnsi="Times New Roman" w:cs="Times New Roman"/>
          <w:sz w:val="24"/>
          <w:szCs w:val="24"/>
          <w:lang w:val="en-US"/>
        </w:rPr>
        <w:t xml:space="preserve"> </w:t>
      </w:r>
      <w:r w:rsidR="00945F92" w:rsidRPr="00174674">
        <w:rPr>
          <w:rFonts w:ascii="Times New Roman" w:hAnsi="Times New Roman" w:cs="Times New Roman"/>
          <w:sz w:val="24"/>
          <w:szCs w:val="24"/>
          <w:lang w:val="en-US"/>
        </w:rPr>
        <w:t>presenting false or incomplete information in party reports could result in criminal liability</w:t>
      </w:r>
      <w:r w:rsidR="00FD618B" w:rsidRPr="00174674">
        <w:rPr>
          <w:rFonts w:ascii="Times New Roman" w:hAnsi="Times New Roman" w:cs="Times New Roman"/>
          <w:sz w:val="24"/>
          <w:szCs w:val="24"/>
          <w:lang w:val="en-US"/>
        </w:rPr>
        <w:t>, while non-submission of report – only in admin</w:t>
      </w:r>
      <w:r w:rsidR="003F0591" w:rsidRPr="00174674">
        <w:rPr>
          <w:rFonts w:ascii="Times New Roman" w:hAnsi="Times New Roman" w:cs="Times New Roman"/>
          <w:sz w:val="24"/>
          <w:szCs w:val="24"/>
          <w:lang w:val="en-US"/>
        </w:rPr>
        <w:t>i</w:t>
      </w:r>
      <w:r w:rsidR="00FD618B" w:rsidRPr="00174674">
        <w:rPr>
          <w:rFonts w:ascii="Times New Roman" w:hAnsi="Times New Roman" w:cs="Times New Roman"/>
          <w:sz w:val="24"/>
          <w:szCs w:val="24"/>
          <w:lang w:val="en-US"/>
        </w:rPr>
        <w:t>strative</w:t>
      </w:r>
      <w:r w:rsidR="00945F92" w:rsidRPr="00174674">
        <w:rPr>
          <w:rFonts w:ascii="Times New Roman" w:hAnsi="Times New Roman" w:cs="Times New Roman"/>
          <w:sz w:val="24"/>
          <w:szCs w:val="24"/>
          <w:lang w:val="en-US"/>
        </w:rPr>
        <w:t>. This could lead to situation when parties chose not to submit reports and pay small fines than risk facing criminal prosecution if NAPC finds any irregularities in their reports. The law also lacks clarity in differentiating between violating rules on donation, for which administrative liability is set, and intentional contribution or reception of illegal donation that leads to criminal punishment. Another open question, which was raised in GRECO report, is subjects of sanctions</w:t>
      </w:r>
      <w:r w:rsidR="003F653D" w:rsidRPr="00174674">
        <w:rPr>
          <w:rFonts w:ascii="Times New Roman" w:hAnsi="Times New Roman" w:cs="Times New Roman"/>
          <w:sz w:val="24"/>
          <w:szCs w:val="24"/>
          <w:lang w:val="en-US"/>
        </w:rPr>
        <w:t>, which the law regulates with some ambiguity.</w:t>
      </w:r>
      <w:r w:rsidR="00945F92" w:rsidRPr="00174674">
        <w:rPr>
          <w:rFonts w:ascii="Times New Roman" w:hAnsi="Times New Roman" w:cs="Times New Roman"/>
          <w:sz w:val="24"/>
          <w:szCs w:val="24"/>
          <w:lang w:val="en-US"/>
        </w:rPr>
        <w:t xml:space="preserve"> </w:t>
      </w:r>
      <w:r w:rsidR="003F653D" w:rsidRPr="00174674">
        <w:rPr>
          <w:rFonts w:ascii="Times New Roman" w:hAnsi="Times New Roman" w:cs="Times New Roman"/>
          <w:sz w:val="24"/>
          <w:szCs w:val="24"/>
          <w:lang w:val="en-US"/>
        </w:rPr>
        <w:t>S</w:t>
      </w:r>
      <w:r w:rsidR="00945F92" w:rsidRPr="00174674">
        <w:rPr>
          <w:rFonts w:ascii="Times New Roman" w:hAnsi="Times New Roman" w:cs="Times New Roman"/>
          <w:sz w:val="24"/>
          <w:szCs w:val="24"/>
          <w:lang w:val="en-US"/>
        </w:rPr>
        <w:t xml:space="preserve">ome Ukrainian experts warned </w:t>
      </w:r>
      <w:r w:rsidR="003F653D" w:rsidRPr="00174674">
        <w:rPr>
          <w:rFonts w:ascii="Times New Roman" w:hAnsi="Times New Roman" w:cs="Times New Roman"/>
          <w:sz w:val="24"/>
          <w:szCs w:val="24"/>
          <w:lang w:val="en-US"/>
        </w:rPr>
        <w:t xml:space="preserve">that </w:t>
      </w:r>
      <w:r w:rsidR="00945F92" w:rsidRPr="00174674">
        <w:rPr>
          <w:rFonts w:ascii="Times New Roman" w:hAnsi="Times New Roman" w:cs="Times New Roman"/>
          <w:sz w:val="24"/>
          <w:szCs w:val="24"/>
          <w:lang w:val="en-US"/>
        </w:rPr>
        <w:t>sanctions could be targeted against ordinary party members (i.e., party accountants), while party leaders would avoid them</w:t>
      </w:r>
      <w:r w:rsidR="003F653D" w:rsidRPr="00174674">
        <w:rPr>
          <w:rFonts w:ascii="Times New Roman" w:hAnsi="Times New Roman" w:cs="Times New Roman"/>
          <w:sz w:val="24"/>
          <w:szCs w:val="24"/>
          <w:lang w:val="en-US"/>
        </w:rPr>
        <w:t>.</w:t>
      </w:r>
    </w:p>
    <w:p w:rsidR="00A43788" w:rsidRDefault="00A43788" w:rsidP="00C03A08">
      <w:pPr>
        <w:spacing w:after="120" w:line="240" w:lineRule="auto"/>
        <w:ind w:firstLine="426"/>
        <w:jc w:val="both"/>
        <w:rPr>
          <w:rFonts w:ascii="Times New Roman" w:hAnsi="Times New Roman" w:cs="Times New Roman"/>
          <w:sz w:val="24"/>
          <w:szCs w:val="24"/>
          <w:lang w:val="en-US"/>
        </w:rPr>
      </w:pPr>
    </w:p>
    <w:p w:rsidR="00A43788" w:rsidRDefault="00A43788" w:rsidP="00C03A08">
      <w:pPr>
        <w:spacing w:after="120" w:line="240" w:lineRule="auto"/>
        <w:ind w:firstLine="426"/>
        <w:jc w:val="both"/>
        <w:rPr>
          <w:rFonts w:ascii="Times New Roman" w:hAnsi="Times New Roman" w:cs="Times New Roman"/>
          <w:sz w:val="24"/>
          <w:szCs w:val="24"/>
          <w:lang w:val="en-US"/>
        </w:rPr>
      </w:pPr>
    </w:p>
    <w:p w:rsidR="003F653D" w:rsidRPr="00174674" w:rsidRDefault="00A43788" w:rsidP="00A4378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F653D" w:rsidRPr="00174674">
        <w:rPr>
          <w:rFonts w:ascii="Times New Roman" w:hAnsi="Times New Roman" w:cs="Times New Roman"/>
          <w:sz w:val="24"/>
          <w:szCs w:val="24"/>
          <w:lang w:val="en-US"/>
        </w:rPr>
        <w:t xml:space="preserve">Finally, decision of the lawmakers to allow application of sanction only by courts could also distort its uniform application, since Ukrainian courts remain politically dependent and prone to corruption. </w:t>
      </w:r>
      <w:r w:rsidR="0007492B" w:rsidRPr="00174674">
        <w:rPr>
          <w:rFonts w:ascii="Times New Roman" w:hAnsi="Times New Roman" w:cs="Times New Roman"/>
          <w:sz w:val="24"/>
          <w:szCs w:val="24"/>
          <w:lang w:val="en-US"/>
        </w:rPr>
        <w:t xml:space="preserve">Vulnerability of courts to political pressure could result in selective application of sanctions against opposition parties and ignoring similar violations made by pro-government political forces. So far, </w:t>
      </w:r>
      <w:r w:rsidR="009263AF" w:rsidRPr="00174674">
        <w:rPr>
          <w:rFonts w:ascii="Times New Roman" w:hAnsi="Times New Roman" w:cs="Times New Roman"/>
          <w:sz w:val="24"/>
          <w:szCs w:val="24"/>
          <w:lang w:val="en-US"/>
        </w:rPr>
        <w:t xml:space="preserve">several dozen </w:t>
      </w:r>
      <w:r w:rsidR="0007492B" w:rsidRPr="00174674">
        <w:rPr>
          <w:rFonts w:ascii="Times New Roman" w:hAnsi="Times New Roman" w:cs="Times New Roman"/>
          <w:sz w:val="24"/>
          <w:szCs w:val="24"/>
          <w:lang w:val="en-US"/>
        </w:rPr>
        <w:t>court decisions on</w:t>
      </w:r>
      <w:r w:rsidR="009263AF" w:rsidRPr="00174674">
        <w:rPr>
          <w:rFonts w:ascii="Times New Roman" w:hAnsi="Times New Roman" w:cs="Times New Roman"/>
          <w:sz w:val="24"/>
          <w:szCs w:val="24"/>
          <w:lang w:val="en-US"/>
        </w:rPr>
        <w:t xml:space="preserve"> administrative</w:t>
      </w:r>
      <w:r w:rsidR="0007492B" w:rsidRPr="00174674">
        <w:rPr>
          <w:rFonts w:ascii="Times New Roman" w:hAnsi="Times New Roman" w:cs="Times New Roman"/>
          <w:sz w:val="24"/>
          <w:szCs w:val="24"/>
          <w:lang w:val="en-US"/>
        </w:rPr>
        <w:t xml:space="preserve"> sanctions against parties for violating rules on political finance have been made</w:t>
      </w:r>
      <w:r w:rsidR="009263AF" w:rsidRPr="00174674">
        <w:rPr>
          <w:rFonts w:ascii="Times New Roman" w:hAnsi="Times New Roman" w:cs="Times New Roman"/>
          <w:sz w:val="24"/>
          <w:szCs w:val="24"/>
          <w:lang w:val="en-US"/>
        </w:rPr>
        <w:t xml:space="preserve">, </w:t>
      </w:r>
      <w:r w:rsidR="00ED1F01" w:rsidRPr="00174674">
        <w:rPr>
          <w:rFonts w:ascii="Times New Roman" w:hAnsi="Times New Roman" w:cs="Times New Roman"/>
          <w:sz w:val="24"/>
          <w:szCs w:val="24"/>
          <w:lang w:val="en-US"/>
        </w:rPr>
        <w:t>mostly targeting</w:t>
      </w:r>
      <w:r w:rsidR="009263AF" w:rsidRPr="00174674">
        <w:rPr>
          <w:rFonts w:ascii="Times New Roman" w:hAnsi="Times New Roman" w:cs="Times New Roman"/>
          <w:sz w:val="24"/>
          <w:szCs w:val="24"/>
          <w:lang w:val="en-US"/>
        </w:rPr>
        <w:t xml:space="preserve"> tiny parties</w:t>
      </w:r>
      <w:r w:rsidR="0007492B" w:rsidRPr="00174674">
        <w:rPr>
          <w:rFonts w:ascii="Times New Roman" w:hAnsi="Times New Roman" w:cs="Times New Roman"/>
          <w:sz w:val="24"/>
          <w:szCs w:val="24"/>
          <w:lang w:val="en-US"/>
        </w:rPr>
        <w:t xml:space="preserve">. Two most prominent court decisions </w:t>
      </w:r>
      <w:r w:rsidR="00ED1F01" w:rsidRPr="00174674">
        <w:rPr>
          <w:rFonts w:ascii="Times New Roman" w:hAnsi="Times New Roman" w:cs="Times New Roman"/>
          <w:sz w:val="24"/>
          <w:szCs w:val="24"/>
          <w:lang w:val="en-US"/>
        </w:rPr>
        <w:t xml:space="preserve">were </w:t>
      </w:r>
      <w:r w:rsidR="009263AF" w:rsidRPr="00174674">
        <w:rPr>
          <w:rFonts w:ascii="Times New Roman" w:hAnsi="Times New Roman" w:cs="Times New Roman"/>
          <w:sz w:val="24"/>
          <w:szCs w:val="24"/>
          <w:lang w:val="en-US"/>
        </w:rPr>
        <w:t>adopted against</w:t>
      </w:r>
      <w:r w:rsidR="0007492B" w:rsidRPr="00174674">
        <w:rPr>
          <w:rFonts w:ascii="Times New Roman" w:hAnsi="Times New Roman" w:cs="Times New Roman"/>
          <w:sz w:val="24"/>
          <w:szCs w:val="24"/>
          <w:lang w:val="en-US"/>
        </w:rPr>
        <w:t xml:space="preserve"> non-parliamentary opposition parties, </w:t>
      </w:r>
      <w:r w:rsidR="0007492B" w:rsidRPr="00174674">
        <w:rPr>
          <w:rFonts w:ascii="Times New Roman" w:hAnsi="Times New Roman" w:cs="Times New Roman"/>
          <w:i/>
          <w:sz w:val="24"/>
          <w:szCs w:val="24"/>
          <w:lang w:val="en-US"/>
        </w:rPr>
        <w:t xml:space="preserve">UKROP </w:t>
      </w:r>
      <w:r w:rsidR="0007492B" w:rsidRPr="00174674">
        <w:rPr>
          <w:rFonts w:ascii="Times New Roman" w:hAnsi="Times New Roman" w:cs="Times New Roman"/>
          <w:sz w:val="24"/>
          <w:szCs w:val="24"/>
          <w:lang w:val="en-US"/>
        </w:rPr>
        <w:t>and Agrarian Party (AP),</w:t>
      </w:r>
      <w:r w:rsidR="003A27F8" w:rsidRPr="00174674">
        <w:rPr>
          <w:rFonts w:ascii="Times New Roman" w:hAnsi="Times New Roman" w:cs="Times New Roman"/>
          <w:sz w:val="24"/>
          <w:szCs w:val="24"/>
          <w:lang w:val="en-US"/>
        </w:rPr>
        <w:t xml:space="preserve"> which</w:t>
      </w:r>
      <w:r w:rsidR="0007492B" w:rsidRPr="00174674">
        <w:rPr>
          <w:rFonts w:ascii="Times New Roman" w:hAnsi="Times New Roman" w:cs="Times New Roman"/>
          <w:sz w:val="24"/>
          <w:szCs w:val="24"/>
          <w:lang w:val="en-US"/>
        </w:rPr>
        <w:t xml:space="preserve"> were sanctioned for receiving cash donations and f</w:t>
      </w:r>
      <w:r w:rsidR="003A27F8" w:rsidRPr="00174674">
        <w:rPr>
          <w:rFonts w:ascii="Times New Roman" w:hAnsi="Times New Roman" w:cs="Times New Roman"/>
          <w:sz w:val="24"/>
          <w:szCs w:val="24"/>
          <w:lang w:val="en-US"/>
        </w:rPr>
        <w:t>unds</w:t>
      </w:r>
      <w:r w:rsidR="0007492B" w:rsidRPr="00174674">
        <w:rPr>
          <w:rFonts w:ascii="Times New Roman" w:hAnsi="Times New Roman" w:cs="Times New Roman"/>
          <w:sz w:val="24"/>
          <w:szCs w:val="24"/>
          <w:lang w:val="en-US"/>
        </w:rPr>
        <w:t xml:space="preserve"> </w:t>
      </w:r>
      <w:r w:rsidR="003A27F8" w:rsidRPr="00174674">
        <w:rPr>
          <w:rFonts w:ascii="Times New Roman" w:hAnsi="Times New Roman" w:cs="Times New Roman"/>
          <w:sz w:val="24"/>
          <w:szCs w:val="24"/>
          <w:lang w:val="en-US"/>
        </w:rPr>
        <w:t>from</w:t>
      </w:r>
      <w:r w:rsidR="0007492B" w:rsidRPr="00174674">
        <w:rPr>
          <w:rFonts w:ascii="Times New Roman" w:hAnsi="Times New Roman" w:cs="Times New Roman"/>
          <w:sz w:val="24"/>
          <w:szCs w:val="24"/>
          <w:lang w:val="en-US"/>
        </w:rPr>
        <w:t xml:space="preserve"> foreign companies, respectively. Only in</w:t>
      </w:r>
      <w:r w:rsidR="003A27F8" w:rsidRPr="00174674">
        <w:rPr>
          <w:rFonts w:ascii="Times New Roman" w:hAnsi="Times New Roman" w:cs="Times New Roman"/>
          <w:sz w:val="24"/>
          <w:szCs w:val="24"/>
          <w:lang w:val="en-US"/>
        </w:rPr>
        <w:t xml:space="preserve"> the</w:t>
      </w:r>
      <w:r w:rsidR="0007492B" w:rsidRPr="00174674">
        <w:rPr>
          <w:rFonts w:ascii="Times New Roman" w:hAnsi="Times New Roman" w:cs="Times New Roman"/>
          <w:sz w:val="24"/>
          <w:szCs w:val="24"/>
          <w:lang w:val="en-US"/>
        </w:rPr>
        <w:t xml:space="preserve"> first case, sanction in form of confiscation of illegally obtained funds and small fine has been applied.</w:t>
      </w:r>
      <w:r w:rsidR="0007492B" w:rsidRPr="00174674">
        <w:rPr>
          <w:rStyle w:val="FootnoteReference"/>
          <w:rFonts w:ascii="Times New Roman" w:hAnsi="Times New Roman" w:cs="Times New Roman"/>
          <w:sz w:val="24"/>
          <w:szCs w:val="24"/>
          <w:lang w:val="en-US"/>
        </w:rPr>
        <w:footnoteReference w:id="8"/>
      </w:r>
    </w:p>
    <w:p w:rsidR="009263AF" w:rsidRPr="00174674" w:rsidRDefault="009263AF" w:rsidP="00C03A08">
      <w:pPr>
        <w:spacing w:after="120" w:line="240" w:lineRule="auto"/>
        <w:ind w:firstLine="426"/>
        <w:jc w:val="both"/>
        <w:rPr>
          <w:rFonts w:ascii="Times New Roman" w:hAnsi="Times New Roman" w:cs="Times New Roman"/>
          <w:sz w:val="24"/>
          <w:szCs w:val="24"/>
          <w:lang w:val="en-US"/>
        </w:rPr>
      </w:pPr>
    </w:p>
    <w:p w:rsidR="004F1C63" w:rsidRPr="00174674" w:rsidRDefault="004F1C63" w:rsidP="00C03A08">
      <w:pPr>
        <w:spacing w:after="120" w:line="240" w:lineRule="auto"/>
        <w:ind w:firstLine="426"/>
        <w:jc w:val="both"/>
        <w:rPr>
          <w:rFonts w:ascii="Times New Roman" w:hAnsi="Times New Roman" w:cs="Times New Roman"/>
          <w:sz w:val="24"/>
          <w:szCs w:val="24"/>
          <w:lang w:val="en-US"/>
        </w:rPr>
      </w:pPr>
    </w:p>
    <w:p w:rsidR="004F1C63" w:rsidRPr="00174674" w:rsidRDefault="004F1C63" w:rsidP="00C03A08">
      <w:pPr>
        <w:spacing w:after="120" w:line="240" w:lineRule="auto"/>
        <w:ind w:firstLine="426"/>
        <w:jc w:val="both"/>
        <w:rPr>
          <w:rFonts w:ascii="Times New Roman" w:hAnsi="Times New Roman" w:cs="Times New Roman"/>
          <w:sz w:val="24"/>
          <w:szCs w:val="24"/>
          <w:lang w:val="en-US"/>
        </w:rPr>
      </w:pPr>
    </w:p>
    <w:p w:rsidR="004F1C63" w:rsidRPr="00174674" w:rsidRDefault="004F1C63" w:rsidP="00C03A08">
      <w:pPr>
        <w:spacing w:after="120" w:line="240" w:lineRule="auto"/>
        <w:ind w:firstLine="426"/>
        <w:jc w:val="both"/>
        <w:rPr>
          <w:rFonts w:ascii="Times New Roman" w:hAnsi="Times New Roman" w:cs="Times New Roman"/>
          <w:sz w:val="24"/>
          <w:szCs w:val="24"/>
          <w:lang w:val="en-US"/>
        </w:rPr>
      </w:pPr>
    </w:p>
    <w:p w:rsidR="004F1C63" w:rsidRPr="00174674" w:rsidRDefault="004F1C63" w:rsidP="00C03A08">
      <w:pPr>
        <w:spacing w:after="120" w:line="240" w:lineRule="auto"/>
        <w:ind w:firstLine="426"/>
        <w:jc w:val="both"/>
        <w:rPr>
          <w:rFonts w:ascii="Times New Roman" w:hAnsi="Times New Roman" w:cs="Times New Roman"/>
          <w:sz w:val="24"/>
          <w:szCs w:val="24"/>
          <w:lang w:val="en-US"/>
        </w:rPr>
      </w:pPr>
    </w:p>
    <w:p w:rsidR="004F1C63" w:rsidRPr="00174674" w:rsidRDefault="004F1C63" w:rsidP="00C03A08">
      <w:pPr>
        <w:spacing w:after="120" w:line="240" w:lineRule="auto"/>
        <w:ind w:firstLine="426"/>
        <w:jc w:val="both"/>
        <w:rPr>
          <w:rFonts w:ascii="Times New Roman" w:hAnsi="Times New Roman" w:cs="Times New Roman"/>
          <w:sz w:val="24"/>
          <w:szCs w:val="24"/>
          <w:lang w:val="en-US"/>
        </w:rPr>
      </w:pPr>
    </w:p>
    <w:p w:rsidR="004F1C63" w:rsidRPr="00174674" w:rsidRDefault="004F1C63" w:rsidP="00C03A08">
      <w:pPr>
        <w:spacing w:after="120" w:line="240" w:lineRule="auto"/>
        <w:ind w:firstLine="426"/>
        <w:jc w:val="both"/>
        <w:rPr>
          <w:rFonts w:ascii="Times New Roman" w:hAnsi="Times New Roman" w:cs="Times New Roman"/>
          <w:sz w:val="24"/>
          <w:szCs w:val="24"/>
          <w:lang w:val="en-US"/>
        </w:rPr>
      </w:pPr>
    </w:p>
    <w:p w:rsidR="004F1C63" w:rsidRPr="00174674" w:rsidRDefault="004F1C63" w:rsidP="00C03A08">
      <w:pPr>
        <w:spacing w:after="120" w:line="240" w:lineRule="auto"/>
        <w:ind w:firstLine="426"/>
        <w:jc w:val="both"/>
        <w:rPr>
          <w:rFonts w:ascii="Times New Roman" w:hAnsi="Times New Roman" w:cs="Times New Roman"/>
          <w:sz w:val="24"/>
          <w:szCs w:val="24"/>
          <w:lang w:val="en-US"/>
        </w:rPr>
      </w:pPr>
    </w:p>
    <w:p w:rsidR="004F1C63" w:rsidRDefault="004F1C63"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Default="00174674" w:rsidP="00C03A08">
      <w:pPr>
        <w:spacing w:after="120" w:line="240" w:lineRule="auto"/>
        <w:ind w:firstLine="426"/>
        <w:jc w:val="both"/>
        <w:rPr>
          <w:rFonts w:ascii="Sylfaen" w:hAnsi="Sylfaen" w:cs="Times New Roman"/>
          <w:sz w:val="24"/>
          <w:szCs w:val="24"/>
          <w:lang w:val="ka-GE"/>
        </w:rPr>
      </w:pPr>
    </w:p>
    <w:p w:rsidR="00174674" w:rsidRPr="00174674" w:rsidRDefault="00174674" w:rsidP="00C03A08">
      <w:pPr>
        <w:spacing w:after="120" w:line="240" w:lineRule="auto"/>
        <w:ind w:firstLine="426"/>
        <w:jc w:val="both"/>
        <w:rPr>
          <w:rFonts w:ascii="Sylfaen" w:hAnsi="Sylfaen" w:cs="Times New Roman"/>
          <w:sz w:val="24"/>
          <w:szCs w:val="24"/>
          <w:lang w:val="ka-GE"/>
        </w:rPr>
      </w:pPr>
    </w:p>
    <w:p w:rsidR="004F1C63" w:rsidRPr="00174674" w:rsidRDefault="004F1C63" w:rsidP="00C03A08">
      <w:pPr>
        <w:spacing w:after="120" w:line="240" w:lineRule="auto"/>
        <w:ind w:firstLine="426"/>
        <w:jc w:val="both"/>
        <w:rPr>
          <w:rFonts w:ascii="Times New Roman" w:hAnsi="Times New Roman" w:cs="Times New Roman"/>
          <w:sz w:val="24"/>
          <w:szCs w:val="24"/>
          <w:lang w:val="en-US"/>
        </w:rPr>
      </w:pPr>
    </w:p>
    <w:p w:rsidR="009263AF" w:rsidRPr="00174674" w:rsidRDefault="00E647F6" w:rsidP="00174674">
      <w:pPr>
        <w:spacing w:after="120" w:line="240" w:lineRule="auto"/>
        <w:ind w:firstLine="426"/>
        <w:rPr>
          <w:rFonts w:ascii="Times New Roman" w:hAnsi="Times New Roman" w:cs="Times New Roman"/>
          <w:b/>
          <w:sz w:val="24"/>
          <w:szCs w:val="24"/>
          <w:lang w:val="en-US"/>
        </w:rPr>
      </w:pPr>
      <w:r w:rsidRPr="00174674">
        <w:rPr>
          <w:rFonts w:ascii="Times New Roman" w:hAnsi="Times New Roman" w:cs="Times New Roman"/>
          <w:b/>
          <w:sz w:val="24"/>
          <w:szCs w:val="24"/>
          <w:lang w:val="en-US"/>
        </w:rPr>
        <w:t>FINDINGS</w:t>
      </w:r>
    </w:p>
    <w:p w:rsidR="003F653D" w:rsidRPr="00174674" w:rsidRDefault="00CC2B83"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The f</w:t>
      </w:r>
      <w:r w:rsidR="00081011" w:rsidRPr="00174674">
        <w:rPr>
          <w:rFonts w:ascii="Times New Roman" w:hAnsi="Times New Roman" w:cs="Times New Roman"/>
          <w:sz w:val="24"/>
          <w:szCs w:val="24"/>
          <w:lang w:val="en-US"/>
        </w:rPr>
        <w:t xml:space="preserve">irst year of functioning of the new political </w:t>
      </w:r>
      <w:r w:rsidR="00347F3A" w:rsidRPr="00174674">
        <w:rPr>
          <w:rFonts w:ascii="Times New Roman" w:hAnsi="Times New Roman" w:cs="Times New Roman"/>
          <w:sz w:val="24"/>
          <w:szCs w:val="24"/>
          <w:lang w:val="en-US"/>
        </w:rPr>
        <w:t>finance regulation has revealed</w:t>
      </w:r>
      <w:r w:rsidR="00081011" w:rsidRPr="00174674">
        <w:rPr>
          <w:rFonts w:ascii="Times New Roman" w:hAnsi="Times New Roman" w:cs="Times New Roman"/>
          <w:sz w:val="24"/>
          <w:szCs w:val="24"/>
          <w:lang w:val="en-US"/>
        </w:rPr>
        <w:t xml:space="preserve"> both</w:t>
      </w:r>
      <w:r w:rsidR="00347F3A" w:rsidRPr="00174674">
        <w:rPr>
          <w:rFonts w:ascii="Times New Roman" w:hAnsi="Times New Roman" w:cs="Times New Roman"/>
          <w:sz w:val="24"/>
          <w:szCs w:val="24"/>
          <w:lang w:val="en-US"/>
        </w:rPr>
        <w:t xml:space="preserve"> its</w:t>
      </w:r>
      <w:r w:rsidR="00081011" w:rsidRPr="00174674">
        <w:rPr>
          <w:rFonts w:ascii="Times New Roman" w:hAnsi="Times New Roman" w:cs="Times New Roman"/>
          <w:sz w:val="24"/>
          <w:szCs w:val="24"/>
          <w:lang w:val="en-US"/>
        </w:rPr>
        <w:t xml:space="preserve"> strengths and weaknesses. Increased transparency of Ukrainian parties is seen by many domestic experts as the most visible result of the reform. </w:t>
      </w:r>
      <w:r w:rsidR="00CD25E8" w:rsidRPr="00174674">
        <w:rPr>
          <w:rFonts w:ascii="Times New Roman" w:hAnsi="Times New Roman" w:cs="Times New Roman"/>
          <w:sz w:val="24"/>
          <w:szCs w:val="24"/>
          <w:lang w:val="en-US"/>
        </w:rPr>
        <w:t>All</w:t>
      </w:r>
      <w:r w:rsidR="00081011" w:rsidRPr="00174674">
        <w:rPr>
          <w:rFonts w:ascii="Times New Roman" w:hAnsi="Times New Roman" w:cs="Times New Roman"/>
          <w:sz w:val="24"/>
          <w:szCs w:val="24"/>
          <w:lang w:val="en-US"/>
        </w:rPr>
        <w:t xml:space="preserve"> prominent </w:t>
      </w:r>
      <w:r w:rsidR="00B26EF4" w:rsidRPr="00174674">
        <w:rPr>
          <w:rFonts w:ascii="Times New Roman" w:hAnsi="Times New Roman" w:cs="Times New Roman"/>
          <w:sz w:val="24"/>
          <w:szCs w:val="24"/>
          <w:lang w:val="en-US"/>
        </w:rPr>
        <w:t>parties started to</w:t>
      </w:r>
      <w:r w:rsidR="00081011" w:rsidRPr="00174674">
        <w:rPr>
          <w:rFonts w:ascii="Times New Roman" w:hAnsi="Times New Roman" w:cs="Times New Roman"/>
          <w:sz w:val="24"/>
          <w:szCs w:val="24"/>
          <w:lang w:val="en-US"/>
        </w:rPr>
        <w:t xml:space="preserve"> disclose information about their employees, regional and local offices and gave some insights into sources of their income and their expenditures. Notably, the improvements in party reporting have been made possible not only due to stringent disclosure requirements. First, introduction of public financing led many parliamentary parties to start officially paying salaries to their activists and renting offices</w:t>
      </w:r>
      <w:r w:rsidR="00B26EF4" w:rsidRPr="00174674">
        <w:rPr>
          <w:rFonts w:ascii="Times New Roman" w:hAnsi="Times New Roman" w:cs="Times New Roman"/>
          <w:sz w:val="24"/>
          <w:szCs w:val="24"/>
          <w:lang w:val="en-US"/>
        </w:rPr>
        <w:t xml:space="preserve"> and produce more detailed and realistic reports (</w:t>
      </w:r>
      <w:proofErr w:type="spellStart"/>
      <w:r w:rsidR="00B26EF4" w:rsidRPr="00174674">
        <w:rPr>
          <w:rFonts w:ascii="Times New Roman" w:hAnsi="Times New Roman" w:cs="Times New Roman"/>
          <w:sz w:val="24"/>
          <w:szCs w:val="24"/>
          <w:lang w:val="en-US"/>
        </w:rPr>
        <w:t>Taran</w:t>
      </w:r>
      <w:proofErr w:type="spellEnd"/>
      <w:r w:rsidR="00B26EF4" w:rsidRPr="00174674">
        <w:rPr>
          <w:rFonts w:ascii="Times New Roman" w:hAnsi="Times New Roman" w:cs="Times New Roman"/>
          <w:sz w:val="24"/>
          <w:szCs w:val="24"/>
          <w:lang w:val="en-US"/>
        </w:rPr>
        <w:t>, 2016)</w:t>
      </w:r>
      <w:r w:rsidR="00081011" w:rsidRPr="00174674">
        <w:rPr>
          <w:rFonts w:ascii="Times New Roman" w:hAnsi="Times New Roman" w:cs="Times New Roman"/>
          <w:sz w:val="24"/>
          <w:szCs w:val="24"/>
          <w:lang w:val="en-US"/>
        </w:rPr>
        <w:t xml:space="preserve">. Second, close </w:t>
      </w:r>
      <w:r w:rsidR="00347F3A" w:rsidRPr="00174674">
        <w:rPr>
          <w:rFonts w:ascii="Times New Roman" w:hAnsi="Times New Roman" w:cs="Times New Roman"/>
          <w:sz w:val="24"/>
          <w:szCs w:val="24"/>
          <w:lang w:val="en-US"/>
        </w:rPr>
        <w:t>scrutiny of</w:t>
      </w:r>
      <w:r w:rsidR="00081011" w:rsidRPr="00174674">
        <w:rPr>
          <w:rFonts w:ascii="Times New Roman" w:hAnsi="Times New Roman" w:cs="Times New Roman"/>
          <w:sz w:val="24"/>
          <w:szCs w:val="24"/>
          <w:lang w:val="en-US"/>
        </w:rPr>
        <w:t xml:space="preserve"> reports by civil society actors also facilitated parties to open their financial standings to a higher degree.</w:t>
      </w:r>
    </w:p>
    <w:p w:rsidR="00081011" w:rsidRPr="00174674" w:rsidRDefault="00081011" w:rsidP="00081011">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Yet, </w:t>
      </w:r>
      <w:r w:rsidR="00BA7A05" w:rsidRPr="00174674">
        <w:rPr>
          <w:rFonts w:ascii="Times New Roman" w:hAnsi="Times New Roman" w:cs="Times New Roman"/>
          <w:sz w:val="24"/>
          <w:szCs w:val="24"/>
          <w:lang w:val="en-US"/>
        </w:rPr>
        <w:t xml:space="preserve">according to estimates of both </w:t>
      </w:r>
      <w:r w:rsidR="00460841" w:rsidRPr="00174674">
        <w:rPr>
          <w:rFonts w:ascii="Times New Roman" w:hAnsi="Times New Roman" w:cs="Times New Roman"/>
          <w:sz w:val="24"/>
          <w:szCs w:val="24"/>
          <w:lang w:val="en-US"/>
        </w:rPr>
        <w:t xml:space="preserve">the </w:t>
      </w:r>
      <w:r w:rsidR="00BA7A05" w:rsidRPr="00174674">
        <w:rPr>
          <w:rFonts w:ascii="Times New Roman" w:hAnsi="Times New Roman" w:cs="Times New Roman"/>
          <w:sz w:val="24"/>
          <w:szCs w:val="24"/>
          <w:lang w:val="en-US"/>
        </w:rPr>
        <w:t xml:space="preserve">NAPC and non-governmental monitoring organizations, many parties continue to conceal sensitive financial information, especially on the nature of their donors. Even with </w:t>
      </w:r>
      <w:r w:rsidRPr="00174674">
        <w:rPr>
          <w:rFonts w:ascii="Times New Roman" w:hAnsi="Times New Roman" w:cs="Times New Roman"/>
          <w:sz w:val="24"/>
          <w:szCs w:val="24"/>
          <w:lang w:val="en-US"/>
        </w:rPr>
        <w:t>liberal contribution caps</w:t>
      </w:r>
      <w:r w:rsidR="00BA7A05" w:rsidRPr="00174674">
        <w:rPr>
          <w:rFonts w:ascii="Times New Roman" w:hAnsi="Times New Roman" w:cs="Times New Roman"/>
          <w:sz w:val="24"/>
          <w:szCs w:val="24"/>
          <w:lang w:val="en-US"/>
        </w:rPr>
        <w:t xml:space="preserve"> in place</w:t>
      </w:r>
      <w:r w:rsidRPr="00174674">
        <w:rPr>
          <w:rFonts w:ascii="Times New Roman" w:hAnsi="Times New Roman" w:cs="Times New Roman"/>
          <w:sz w:val="24"/>
          <w:szCs w:val="24"/>
          <w:lang w:val="en-US"/>
        </w:rPr>
        <w:t xml:space="preserve">, some parties have reportedly tried to circumvent them by splitting large donations. Analysis of the </w:t>
      </w:r>
      <w:r w:rsidRPr="00174674">
        <w:rPr>
          <w:rFonts w:ascii="Times New Roman" w:hAnsi="Times New Roman" w:cs="Times New Roman"/>
          <w:i/>
          <w:sz w:val="24"/>
          <w:szCs w:val="24"/>
          <w:lang w:val="en-US"/>
        </w:rPr>
        <w:t>CHESNO</w:t>
      </w:r>
      <w:r w:rsidRPr="00174674">
        <w:rPr>
          <w:rFonts w:ascii="Times New Roman" w:hAnsi="Times New Roman" w:cs="Times New Roman"/>
          <w:sz w:val="24"/>
          <w:szCs w:val="24"/>
          <w:lang w:val="en-US"/>
        </w:rPr>
        <w:t xml:space="preserve"> Civil Movement revealed that many of the small donations to </w:t>
      </w:r>
      <w:proofErr w:type="spellStart"/>
      <w:r w:rsidRPr="00174674">
        <w:rPr>
          <w:rFonts w:ascii="Times New Roman" w:hAnsi="Times New Roman" w:cs="Times New Roman"/>
          <w:i/>
          <w:sz w:val="24"/>
          <w:szCs w:val="24"/>
          <w:lang w:val="en-US"/>
        </w:rPr>
        <w:t>Batkivshchyna</w:t>
      </w:r>
      <w:proofErr w:type="spellEnd"/>
      <w:r w:rsidRPr="00174674">
        <w:rPr>
          <w:rFonts w:ascii="Times New Roman" w:hAnsi="Times New Roman" w:cs="Times New Roman"/>
          <w:sz w:val="24"/>
          <w:szCs w:val="24"/>
          <w:lang w:val="en-US"/>
        </w:rPr>
        <w:t xml:space="preserve"> party reflected in its financial reports had never been actually made</w:t>
      </w:r>
      <w:r w:rsidRPr="00174674">
        <w:rPr>
          <w:rFonts w:ascii="Times New Roman" w:hAnsi="Times New Roman" w:cs="Times New Roman"/>
          <w:sz w:val="24"/>
          <w:szCs w:val="24"/>
          <w:lang w:val="uk-UA"/>
        </w:rPr>
        <w:t xml:space="preserve"> (</w:t>
      </w:r>
      <w:proofErr w:type="spellStart"/>
      <w:r w:rsidRPr="00174674">
        <w:rPr>
          <w:rFonts w:ascii="Times New Roman" w:hAnsi="Times New Roman" w:cs="Times New Roman"/>
          <w:sz w:val="24"/>
          <w:szCs w:val="24"/>
          <w:lang w:val="en-US"/>
        </w:rPr>
        <w:t>Feshchenko</w:t>
      </w:r>
      <w:proofErr w:type="spellEnd"/>
      <w:r w:rsidRPr="00174674">
        <w:rPr>
          <w:rFonts w:ascii="Times New Roman" w:hAnsi="Times New Roman" w:cs="Times New Roman"/>
          <w:sz w:val="24"/>
          <w:szCs w:val="24"/>
          <w:lang w:val="en-US"/>
        </w:rPr>
        <w:t xml:space="preserve">, </w:t>
      </w:r>
      <w:proofErr w:type="spellStart"/>
      <w:r w:rsidRPr="00174674">
        <w:rPr>
          <w:rFonts w:ascii="Times New Roman" w:hAnsi="Times New Roman" w:cs="Times New Roman"/>
          <w:sz w:val="24"/>
          <w:szCs w:val="24"/>
          <w:lang w:val="en-US"/>
        </w:rPr>
        <w:t>Dumanska</w:t>
      </w:r>
      <w:proofErr w:type="spellEnd"/>
      <w:r w:rsidRPr="00174674">
        <w:rPr>
          <w:rFonts w:ascii="Times New Roman" w:hAnsi="Times New Roman" w:cs="Times New Roman"/>
          <w:sz w:val="24"/>
          <w:szCs w:val="24"/>
          <w:lang w:val="en-US"/>
        </w:rPr>
        <w:t xml:space="preserve">, &amp; </w:t>
      </w:r>
      <w:proofErr w:type="spellStart"/>
      <w:r w:rsidRPr="00174674">
        <w:rPr>
          <w:rFonts w:ascii="Times New Roman" w:hAnsi="Times New Roman" w:cs="Times New Roman"/>
          <w:sz w:val="24"/>
          <w:szCs w:val="24"/>
          <w:lang w:val="en-US"/>
        </w:rPr>
        <w:t>Fedoriv</w:t>
      </w:r>
      <w:proofErr w:type="spellEnd"/>
      <w:r w:rsidRPr="00174674">
        <w:rPr>
          <w:rFonts w:ascii="Times New Roman" w:hAnsi="Times New Roman" w:cs="Times New Roman"/>
          <w:sz w:val="24"/>
          <w:szCs w:val="24"/>
          <w:lang w:val="en-US"/>
        </w:rPr>
        <w:t xml:space="preserve">, 2017). </w:t>
      </w:r>
      <w:r w:rsidR="00BA7A05" w:rsidRPr="00174674">
        <w:rPr>
          <w:rFonts w:ascii="Times New Roman" w:hAnsi="Times New Roman" w:cs="Times New Roman"/>
          <w:sz w:val="24"/>
          <w:szCs w:val="24"/>
          <w:lang w:val="en-US"/>
        </w:rPr>
        <w:t>Joint i</w:t>
      </w:r>
      <w:r w:rsidRPr="00174674">
        <w:rPr>
          <w:rFonts w:ascii="Times New Roman" w:hAnsi="Times New Roman" w:cs="Times New Roman"/>
          <w:sz w:val="24"/>
          <w:szCs w:val="24"/>
          <w:lang w:val="en-US"/>
        </w:rPr>
        <w:t xml:space="preserve">nvestigation of </w:t>
      </w:r>
      <w:r w:rsidR="00460841" w:rsidRPr="00174674">
        <w:rPr>
          <w:rFonts w:ascii="Times New Roman" w:hAnsi="Times New Roman" w:cs="Times New Roman"/>
          <w:sz w:val="24"/>
          <w:szCs w:val="24"/>
          <w:lang w:val="en-US"/>
        </w:rPr>
        <w:t xml:space="preserve">the </w:t>
      </w:r>
      <w:r w:rsidR="00BA7A05" w:rsidRPr="00174674">
        <w:rPr>
          <w:rFonts w:ascii="Times New Roman" w:hAnsi="Times New Roman" w:cs="Times New Roman"/>
          <w:sz w:val="24"/>
          <w:szCs w:val="24"/>
          <w:lang w:val="en-US"/>
        </w:rPr>
        <w:t>N</w:t>
      </w:r>
      <w:r w:rsidRPr="00174674">
        <w:rPr>
          <w:rFonts w:ascii="Times New Roman" w:hAnsi="Times New Roman" w:cs="Times New Roman"/>
          <w:sz w:val="24"/>
          <w:szCs w:val="24"/>
          <w:lang w:val="en-US"/>
        </w:rPr>
        <w:t>APC</w:t>
      </w:r>
      <w:r w:rsidR="00BA7A05" w:rsidRPr="00174674">
        <w:rPr>
          <w:rFonts w:ascii="Times New Roman" w:hAnsi="Times New Roman" w:cs="Times New Roman"/>
          <w:sz w:val="24"/>
          <w:szCs w:val="24"/>
          <w:lang w:val="en-US"/>
        </w:rPr>
        <w:t xml:space="preserve"> and </w:t>
      </w:r>
      <w:r w:rsidR="00BA7A05" w:rsidRPr="00174674">
        <w:rPr>
          <w:rFonts w:ascii="Times New Roman" w:hAnsi="Times New Roman" w:cs="Times New Roman"/>
          <w:i/>
          <w:sz w:val="24"/>
          <w:szCs w:val="24"/>
          <w:lang w:val="en-US"/>
        </w:rPr>
        <w:t>CHESNO</w:t>
      </w:r>
      <w:r w:rsidRPr="00174674">
        <w:rPr>
          <w:rFonts w:ascii="Times New Roman" w:hAnsi="Times New Roman" w:cs="Times New Roman"/>
          <w:sz w:val="24"/>
          <w:szCs w:val="24"/>
          <w:lang w:val="en-US"/>
        </w:rPr>
        <w:t xml:space="preserve"> corroborated these accusations. Similar trends have been noticed in the reports of several local organizations of Petro Poroshenko Bloc (PPB), but no hard evidence has been presented in this case.</w:t>
      </w:r>
      <w:r w:rsidR="00BA7A05" w:rsidRPr="00174674">
        <w:rPr>
          <w:rFonts w:ascii="Times New Roman" w:hAnsi="Times New Roman" w:cs="Times New Roman"/>
          <w:sz w:val="24"/>
          <w:szCs w:val="24"/>
          <w:lang w:val="en-US"/>
        </w:rPr>
        <w:t xml:space="preserve"> Journalists also raised doubts about authenticity of donors </w:t>
      </w:r>
      <w:r w:rsidR="00347F3A" w:rsidRPr="00174674">
        <w:rPr>
          <w:rFonts w:ascii="Times New Roman" w:hAnsi="Times New Roman" w:cs="Times New Roman"/>
          <w:sz w:val="24"/>
          <w:szCs w:val="24"/>
          <w:lang w:val="en-US"/>
        </w:rPr>
        <w:t xml:space="preserve">reported </w:t>
      </w:r>
      <w:r w:rsidR="00BA7A05" w:rsidRPr="00174674">
        <w:rPr>
          <w:rFonts w:ascii="Times New Roman" w:hAnsi="Times New Roman" w:cs="Times New Roman"/>
          <w:sz w:val="24"/>
          <w:szCs w:val="24"/>
          <w:lang w:val="en-US"/>
        </w:rPr>
        <w:t>in</w:t>
      </w:r>
      <w:r w:rsidR="00347F3A" w:rsidRPr="00174674">
        <w:rPr>
          <w:rFonts w:ascii="Times New Roman" w:hAnsi="Times New Roman" w:cs="Times New Roman"/>
          <w:sz w:val="24"/>
          <w:szCs w:val="24"/>
          <w:lang w:val="en-US"/>
        </w:rPr>
        <w:t xml:space="preserve"> the reports of</w:t>
      </w:r>
      <w:r w:rsidR="00BA7A05" w:rsidRPr="00174674">
        <w:rPr>
          <w:rFonts w:ascii="Times New Roman" w:hAnsi="Times New Roman" w:cs="Times New Roman"/>
          <w:sz w:val="24"/>
          <w:szCs w:val="24"/>
          <w:lang w:val="en-US"/>
        </w:rPr>
        <w:t xml:space="preserve"> Opposition Bloc</w:t>
      </w:r>
      <w:r w:rsidR="00347F3A" w:rsidRPr="00174674">
        <w:rPr>
          <w:rFonts w:ascii="Times New Roman" w:hAnsi="Times New Roman" w:cs="Times New Roman"/>
          <w:sz w:val="24"/>
          <w:szCs w:val="24"/>
          <w:lang w:val="en-US"/>
        </w:rPr>
        <w:t xml:space="preserve"> (OB)</w:t>
      </w:r>
      <w:r w:rsidR="00CD25E8" w:rsidRPr="00174674">
        <w:rPr>
          <w:rFonts w:ascii="Times New Roman" w:hAnsi="Times New Roman" w:cs="Times New Roman"/>
          <w:sz w:val="24"/>
          <w:szCs w:val="24"/>
          <w:lang w:val="en-US"/>
        </w:rPr>
        <w:t>:</w:t>
      </w:r>
      <w:r w:rsidR="00BA7A05" w:rsidRPr="00174674">
        <w:rPr>
          <w:rFonts w:ascii="Times New Roman" w:hAnsi="Times New Roman" w:cs="Times New Roman"/>
          <w:sz w:val="24"/>
          <w:szCs w:val="24"/>
          <w:lang w:val="en-US"/>
        </w:rPr>
        <w:t xml:space="preserve"> according to their investigation, these companies hid party ties to two prominent Ukrainian oligarchs</w:t>
      </w:r>
      <w:r w:rsidR="0009593B" w:rsidRPr="00174674">
        <w:rPr>
          <w:rFonts w:ascii="Times New Roman" w:hAnsi="Times New Roman" w:cs="Times New Roman"/>
          <w:sz w:val="24"/>
          <w:szCs w:val="24"/>
          <w:lang w:val="uk-UA"/>
        </w:rPr>
        <w:t xml:space="preserve"> </w:t>
      </w:r>
      <w:r w:rsidR="0009593B" w:rsidRPr="00174674">
        <w:rPr>
          <w:rFonts w:ascii="Times New Roman" w:hAnsi="Times New Roman" w:cs="Times New Roman"/>
          <w:sz w:val="24"/>
          <w:szCs w:val="24"/>
          <w:lang w:val="en-US"/>
        </w:rPr>
        <w:t>(</w:t>
      </w:r>
      <w:proofErr w:type="spellStart"/>
      <w:r w:rsidR="0009593B" w:rsidRPr="00174674">
        <w:rPr>
          <w:rFonts w:ascii="Times New Roman" w:hAnsi="Times New Roman" w:cs="Times New Roman"/>
          <w:sz w:val="24"/>
          <w:szCs w:val="24"/>
          <w:lang w:val="en-US"/>
        </w:rPr>
        <w:t>Motrunych</w:t>
      </w:r>
      <w:proofErr w:type="spellEnd"/>
      <w:r w:rsidR="0009593B" w:rsidRPr="00174674">
        <w:rPr>
          <w:rFonts w:ascii="Times New Roman" w:hAnsi="Times New Roman" w:cs="Times New Roman"/>
          <w:sz w:val="24"/>
          <w:szCs w:val="24"/>
          <w:lang w:val="en-US"/>
        </w:rPr>
        <w:t>, 2017)</w:t>
      </w:r>
      <w:r w:rsidR="00BA7A05" w:rsidRPr="00174674">
        <w:rPr>
          <w:rFonts w:ascii="Times New Roman" w:hAnsi="Times New Roman" w:cs="Times New Roman"/>
          <w:sz w:val="24"/>
          <w:szCs w:val="24"/>
          <w:lang w:val="en-US"/>
        </w:rPr>
        <w:t>.</w:t>
      </w:r>
      <w:r w:rsidR="00821D04" w:rsidRPr="00174674">
        <w:rPr>
          <w:rFonts w:ascii="Times New Roman" w:hAnsi="Times New Roman" w:cs="Times New Roman"/>
          <w:sz w:val="24"/>
          <w:szCs w:val="24"/>
          <w:lang w:val="en-US"/>
        </w:rPr>
        <w:t xml:space="preserve"> Most parties also do not disclose received donations in kind due to their unwillingness</w:t>
      </w:r>
      <w:r w:rsidR="005167F1" w:rsidRPr="00174674">
        <w:rPr>
          <w:rFonts w:ascii="Times New Roman" w:hAnsi="Times New Roman" w:cs="Times New Roman"/>
          <w:sz w:val="24"/>
          <w:szCs w:val="24"/>
          <w:lang w:val="en-US"/>
        </w:rPr>
        <w:t xml:space="preserve"> to do so</w:t>
      </w:r>
      <w:r w:rsidR="00821D04" w:rsidRPr="00174674">
        <w:rPr>
          <w:rFonts w:ascii="Times New Roman" w:hAnsi="Times New Roman" w:cs="Times New Roman"/>
          <w:sz w:val="24"/>
          <w:szCs w:val="24"/>
          <w:lang w:val="en-US"/>
        </w:rPr>
        <w:t xml:space="preserve"> and lack of clear guidelines from </w:t>
      </w:r>
      <w:r w:rsidR="005167F1" w:rsidRPr="00174674">
        <w:rPr>
          <w:rFonts w:ascii="Times New Roman" w:hAnsi="Times New Roman" w:cs="Times New Roman"/>
          <w:sz w:val="24"/>
          <w:szCs w:val="24"/>
          <w:lang w:val="en-US"/>
        </w:rPr>
        <w:t xml:space="preserve">the </w:t>
      </w:r>
      <w:r w:rsidR="00821D04" w:rsidRPr="00174674">
        <w:rPr>
          <w:rFonts w:ascii="Times New Roman" w:hAnsi="Times New Roman" w:cs="Times New Roman"/>
          <w:sz w:val="24"/>
          <w:szCs w:val="24"/>
          <w:lang w:val="en-US"/>
        </w:rPr>
        <w:t>NAPC on this matter.</w:t>
      </w:r>
    </w:p>
    <w:p w:rsidR="0009593B" w:rsidRPr="00174674" w:rsidRDefault="0009593B"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Performance of </w:t>
      </w:r>
      <w:r w:rsidR="00460841"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NAPC in the area of party finance analysis</w:t>
      </w:r>
      <w:r w:rsidR="00AD1E65" w:rsidRPr="00174674">
        <w:rPr>
          <w:rFonts w:ascii="Times New Roman" w:hAnsi="Times New Roman" w:cs="Times New Roman"/>
          <w:sz w:val="24"/>
          <w:szCs w:val="24"/>
          <w:lang w:val="en-US"/>
        </w:rPr>
        <w:t xml:space="preserve"> also</w:t>
      </w:r>
      <w:r w:rsidRPr="00174674">
        <w:rPr>
          <w:rFonts w:ascii="Times New Roman" w:hAnsi="Times New Roman" w:cs="Times New Roman"/>
          <w:sz w:val="24"/>
          <w:szCs w:val="24"/>
          <w:lang w:val="en-US"/>
        </w:rPr>
        <w:t xml:space="preserve"> </w:t>
      </w:r>
      <w:r w:rsidR="005167F1" w:rsidRPr="00174674">
        <w:rPr>
          <w:rFonts w:ascii="Times New Roman" w:hAnsi="Times New Roman" w:cs="Times New Roman"/>
          <w:sz w:val="24"/>
          <w:szCs w:val="24"/>
          <w:lang w:val="en-US"/>
        </w:rPr>
        <w:t>has</w:t>
      </w:r>
      <w:r w:rsidRPr="00174674">
        <w:rPr>
          <w:rFonts w:ascii="Times New Roman" w:hAnsi="Times New Roman" w:cs="Times New Roman"/>
          <w:sz w:val="24"/>
          <w:szCs w:val="24"/>
          <w:lang w:val="en-US"/>
        </w:rPr>
        <w:t xml:space="preserve"> not </w:t>
      </w:r>
      <w:r w:rsidR="005167F1" w:rsidRPr="00174674">
        <w:rPr>
          <w:rFonts w:ascii="Times New Roman" w:hAnsi="Times New Roman" w:cs="Times New Roman"/>
          <w:sz w:val="24"/>
          <w:szCs w:val="24"/>
          <w:lang w:val="en-US"/>
        </w:rPr>
        <w:t xml:space="preserve">yet </w:t>
      </w:r>
      <w:r w:rsidRPr="00174674">
        <w:rPr>
          <w:rFonts w:ascii="Times New Roman" w:hAnsi="Times New Roman" w:cs="Times New Roman"/>
          <w:sz w:val="24"/>
          <w:szCs w:val="24"/>
          <w:lang w:val="en-US"/>
        </w:rPr>
        <w:t>reach</w:t>
      </w:r>
      <w:r w:rsidR="005167F1" w:rsidRPr="00174674">
        <w:rPr>
          <w:rFonts w:ascii="Times New Roman" w:hAnsi="Times New Roman" w:cs="Times New Roman"/>
          <w:sz w:val="24"/>
          <w:szCs w:val="24"/>
          <w:lang w:val="en-US"/>
        </w:rPr>
        <w:t xml:space="preserve">ed initial </w:t>
      </w:r>
      <w:r w:rsidRPr="00174674">
        <w:rPr>
          <w:rFonts w:ascii="Times New Roman" w:hAnsi="Times New Roman" w:cs="Times New Roman"/>
          <w:sz w:val="24"/>
          <w:szCs w:val="24"/>
          <w:lang w:val="en-US"/>
        </w:rPr>
        <w:t>expectations. On the one hand, it has adopted almost all regulat</w:t>
      </w:r>
      <w:r w:rsidR="00AD1E65" w:rsidRPr="00174674">
        <w:rPr>
          <w:rFonts w:ascii="Times New Roman" w:hAnsi="Times New Roman" w:cs="Times New Roman"/>
          <w:sz w:val="24"/>
          <w:szCs w:val="24"/>
          <w:lang w:val="en-US"/>
        </w:rPr>
        <w:t>ory acts</w:t>
      </w:r>
      <w:r w:rsidRPr="00174674">
        <w:rPr>
          <w:rFonts w:ascii="Times New Roman" w:hAnsi="Times New Roman" w:cs="Times New Roman"/>
          <w:sz w:val="24"/>
          <w:szCs w:val="24"/>
          <w:lang w:val="en-US"/>
        </w:rPr>
        <w:t xml:space="preserve"> necessary for </w:t>
      </w:r>
      <w:r w:rsidR="00AD1E65" w:rsidRPr="00174674">
        <w:rPr>
          <w:rFonts w:ascii="Times New Roman" w:hAnsi="Times New Roman" w:cs="Times New Roman"/>
          <w:sz w:val="24"/>
          <w:szCs w:val="24"/>
          <w:lang w:val="en-US"/>
        </w:rPr>
        <w:t xml:space="preserve">introduction of the new reporting system and monitoring of party reports allowing it to start its functioning in full capacity. </w:t>
      </w:r>
      <w:r w:rsidR="00460841" w:rsidRPr="00174674">
        <w:rPr>
          <w:rFonts w:ascii="Times New Roman" w:hAnsi="Times New Roman" w:cs="Times New Roman"/>
          <w:sz w:val="24"/>
          <w:szCs w:val="24"/>
          <w:lang w:val="en-US"/>
        </w:rPr>
        <w:t xml:space="preserve">The </w:t>
      </w:r>
      <w:r w:rsidR="00AD1E65" w:rsidRPr="00174674">
        <w:rPr>
          <w:rFonts w:ascii="Times New Roman" w:hAnsi="Times New Roman" w:cs="Times New Roman"/>
          <w:sz w:val="24"/>
          <w:szCs w:val="24"/>
          <w:lang w:val="en-US"/>
        </w:rPr>
        <w:t xml:space="preserve">NAPC has also demonstrated openness to cooperation with various governmental and non-governmental actors, including political parties, Ukrainian NGOs, and international organizations, including IFES, the Council of Europe, and the OSCE. Representatives of </w:t>
      </w:r>
      <w:r w:rsidR="00460841" w:rsidRPr="00174674">
        <w:rPr>
          <w:rFonts w:ascii="Times New Roman" w:hAnsi="Times New Roman" w:cs="Times New Roman"/>
          <w:sz w:val="24"/>
          <w:szCs w:val="24"/>
          <w:lang w:val="en-US"/>
        </w:rPr>
        <w:t xml:space="preserve">the </w:t>
      </w:r>
      <w:r w:rsidR="00AD1E65" w:rsidRPr="00174674">
        <w:rPr>
          <w:rFonts w:ascii="Times New Roman" w:hAnsi="Times New Roman" w:cs="Times New Roman"/>
          <w:sz w:val="24"/>
          <w:szCs w:val="24"/>
          <w:lang w:val="en-US"/>
        </w:rPr>
        <w:t xml:space="preserve">NAPC department on prevention of political corruption have assessed their cooperation with these organizations in a positive way stating that they helped </w:t>
      </w:r>
      <w:r w:rsidR="005167F1" w:rsidRPr="00174674">
        <w:rPr>
          <w:rFonts w:ascii="Times New Roman" w:hAnsi="Times New Roman" w:cs="Times New Roman"/>
          <w:sz w:val="24"/>
          <w:szCs w:val="24"/>
          <w:lang w:val="en-US"/>
        </w:rPr>
        <w:t xml:space="preserve">the </w:t>
      </w:r>
      <w:r w:rsidR="00AD1E65" w:rsidRPr="00174674">
        <w:rPr>
          <w:rFonts w:ascii="Times New Roman" w:hAnsi="Times New Roman" w:cs="Times New Roman"/>
          <w:sz w:val="24"/>
          <w:szCs w:val="24"/>
          <w:lang w:val="en-US"/>
        </w:rPr>
        <w:t>NAPC to significantly increase its capacities.</w:t>
      </w:r>
    </w:p>
    <w:p w:rsidR="00EF2D80" w:rsidRPr="00174674" w:rsidRDefault="00AD1E65"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However</w:t>
      </w:r>
      <w:r w:rsidR="00EF2D80" w:rsidRPr="00174674">
        <w:rPr>
          <w:rFonts w:ascii="Times New Roman" w:hAnsi="Times New Roman" w:cs="Times New Roman"/>
          <w:sz w:val="24"/>
          <w:szCs w:val="24"/>
          <w:lang w:val="en-US"/>
        </w:rPr>
        <w:t xml:space="preserve">, the </w:t>
      </w:r>
      <w:proofErr w:type="gramStart"/>
      <w:r w:rsidR="00EF2D80" w:rsidRPr="00174674">
        <w:rPr>
          <w:rFonts w:ascii="Times New Roman" w:hAnsi="Times New Roman" w:cs="Times New Roman"/>
          <w:sz w:val="24"/>
          <w:szCs w:val="24"/>
          <w:lang w:val="en-US"/>
        </w:rPr>
        <w:t xml:space="preserve">results of </w:t>
      </w:r>
      <w:r w:rsidR="00460841" w:rsidRPr="00174674">
        <w:rPr>
          <w:rFonts w:ascii="Times New Roman" w:hAnsi="Times New Roman" w:cs="Times New Roman"/>
          <w:sz w:val="24"/>
          <w:szCs w:val="24"/>
          <w:lang w:val="en-US"/>
        </w:rPr>
        <w:t xml:space="preserve">the </w:t>
      </w:r>
      <w:r w:rsidR="00EF2D80" w:rsidRPr="00174674">
        <w:rPr>
          <w:rFonts w:ascii="Times New Roman" w:hAnsi="Times New Roman" w:cs="Times New Roman"/>
          <w:sz w:val="24"/>
          <w:szCs w:val="24"/>
          <w:lang w:val="en-US"/>
        </w:rPr>
        <w:t>NAPC analysis of party reports was</w:t>
      </w:r>
      <w:proofErr w:type="gramEnd"/>
      <w:r w:rsidR="00EF2D80" w:rsidRPr="00174674">
        <w:rPr>
          <w:rFonts w:ascii="Times New Roman" w:hAnsi="Times New Roman" w:cs="Times New Roman"/>
          <w:sz w:val="24"/>
          <w:szCs w:val="24"/>
          <w:lang w:val="en-US"/>
        </w:rPr>
        <w:t xml:space="preserve"> questioned by several NGOs working in this area. So far,</w:t>
      </w:r>
      <w:r w:rsidR="00460841" w:rsidRPr="00174674">
        <w:rPr>
          <w:rFonts w:ascii="Times New Roman" w:hAnsi="Times New Roman" w:cs="Times New Roman"/>
          <w:sz w:val="24"/>
          <w:szCs w:val="24"/>
          <w:lang w:val="en-US"/>
        </w:rPr>
        <w:t xml:space="preserve"> the</w:t>
      </w:r>
      <w:r w:rsidR="00EF2D80" w:rsidRPr="00174674">
        <w:rPr>
          <w:rFonts w:ascii="Times New Roman" w:hAnsi="Times New Roman" w:cs="Times New Roman"/>
          <w:sz w:val="24"/>
          <w:szCs w:val="24"/>
          <w:lang w:val="en-US"/>
        </w:rPr>
        <w:t xml:space="preserve"> NAPC has mostly paid attention to minor or most obvious offences, such as late or non-submission of report</w:t>
      </w:r>
      <w:r w:rsidR="005167F1" w:rsidRPr="00174674">
        <w:rPr>
          <w:rFonts w:ascii="Times New Roman" w:hAnsi="Times New Roman" w:cs="Times New Roman"/>
          <w:sz w:val="24"/>
          <w:szCs w:val="24"/>
          <w:lang w:val="en-US"/>
        </w:rPr>
        <w:t>s</w:t>
      </w:r>
      <w:r w:rsidR="00EF2D80" w:rsidRPr="00174674">
        <w:rPr>
          <w:rFonts w:ascii="Times New Roman" w:hAnsi="Times New Roman" w:cs="Times New Roman"/>
          <w:sz w:val="24"/>
          <w:szCs w:val="24"/>
          <w:lang w:val="en-US"/>
        </w:rPr>
        <w:t xml:space="preserve">, failure to disclose information about party local branches, </w:t>
      </w:r>
      <w:r w:rsidR="005167F1" w:rsidRPr="00174674">
        <w:rPr>
          <w:rFonts w:ascii="Times New Roman" w:hAnsi="Times New Roman" w:cs="Times New Roman"/>
          <w:sz w:val="24"/>
          <w:szCs w:val="24"/>
          <w:lang w:val="en-US"/>
        </w:rPr>
        <w:t>and</w:t>
      </w:r>
      <w:r w:rsidR="00EF2D80" w:rsidRPr="00174674">
        <w:rPr>
          <w:rFonts w:ascii="Times New Roman" w:hAnsi="Times New Roman" w:cs="Times New Roman"/>
          <w:sz w:val="24"/>
          <w:szCs w:val="24"/>
          <w:lang w:val="en-US"/>
        </w:rPr>
        <w:t xml:space="preserve"> </w:t>
      </w:r>
      <w:r w:rsidR="005167F1" w:rsidRPr="00174674">
        <w:rPr>
          <w:rFonts w:ascii="Times New Roman" w:hAnsi="Times New Roman" w:cs="Times New Roman"/>
          <w:sz w:val="24"/>
          <w:szCs w:val="24"/>
          <w:lang w:val="en-US"/>
        </w:rPr>
        <w:t xml:space="preserve">some </w:t>
      </w:r>
      <w:r w:rsidR="00EF2D80" w:rsidRPr="00174674">
        <w:rPr>
          <w:rFonts w:ascii="Times New Roman" w:hAnsi="Times New Roman" w:cs="Times New Roman"/>
          <w:sz w:val="24"/>
          <w:szCs w:val="24"/>
          <w:lang w:val="en-US"/>
        </w:rPr>
        <w:t>violation</w:t>
      </w:r>
      <w:r w:rsidR="005167F1" w:rsidRPr="00174674">
        <w:rPr>
          <w:rFonts w:ascii="Times New Roman" w:hAnsi="Times New Roman" w:cs="Times New Roman"/>
          <w:sz w:val="24"/>
          <w:szCs w:val="24"/>
          <w:lang w:val="en-US"/>
        </w:rPr>
        <w:t>s</w:t>
      </w:r>
      <w:r w:rsidR="00EF2D80" w:rsidRPr="00174674">
        <w:rPr>
          <w:rFonts w:ascii="Times New Roman" w:hAnsi="Times New Roman" w:cs="Times New Roman"/>
          <w:sz w:val="24"/>
          <w:szCs w:val="24"/>
          <w:lang w:val="en-US"/>
        </w:rPr>
        <w:t xml:space="preserve"> of donation rules. Moreover, in some cases – like in th</w:t>
      </w:r>
      <w:r w:rsidR="00CD25E8" w:rsidRPr="00174674">
        <w:rPr>
          <w:rFonts w:ascii="Times New Roman" w:hAnsi="Times New Roman" w:cs="Times New Roman"/>
          <w:sz w:val="24"/>
          <w:szCs w:val="24"/>
          <w:lang w:val="en-US"/>
        </w:rPr>
        <w:t>ose</w:t>
      </w:r>
      <w:r w:rsidR="00EF2D80" w:rsidRPr="00174674">
        <w:rPr>
          <w:rFonts w:ascii="Times New Roman" w:hAnsi="Times New Roman" w:cs="Times New Roman"/>
          <w:sz w:val="24"/>
          <w:szCs w:val="24"/>
          <w:lang w:val="en-US"/>
        </w:rPr>
        <w:t xml:space="preserve"> of </w:t>
      </w:r>
      <w:proofErr w:type="spellStart"/>
      <w:r w:rsidR="00EF2D80" w:rsidRPr="00174674">
        <w:rPr>
          <w:rFonts w:ascii="Times New Roman" w:hAnsi="Times New Roman" w:cs="Times New Roman"/>
          <w:i/>
          <w:sz w:val="24"/>
          <w:szCs w:val="24"/>
          <w:lang w:val="en-US"/>
        </w:rPr>
        <w:t>Batkivshchyna</w:t>
      </w:r>
      <w:proofErr w:type="spellEnd"/>
      <w:r w:rsidR="00EF2D80" w:rsidRPr="00174674">
        <w:rPr>
          <w:rFonts w:ascii="Times New Roman" w:hAnsi="Times New Roman" w:cs="Times New Roman"/>
          <w:i/>
          <w:sz w:val="24"/>
          <w:szCs w:val="24"/>
          <w:lang w:val="en-US"/>
        </w:rPr>
        <w:t xml:space="preserve"> </w:t>
      </w:r>
      <w:r w:rsidR="00EF2D80" w:rsidRPr="00174674">
        <w:rPr>
          <w:rFonts w:ascii="Times New Roman" w:hAnsi="Times New Roman" w:cs="Times New Roman"/>
          <w:sz w:val="24"/>
          <w:szCs w:val="24"/>
          <w:lang w:val="en-US"/>
        </w:rPr>
        <w:t>false donations</w:t>
      </w:r>
      <w:r w:rsidRPr="00174674">
        <w:rPr>
          <w:rFonts w:ascii="Times New Roman" w:hAnsi="Times New Roman" w:cs="Times New Roman"/>
          <w:sz w:val="24"/>
          <w:szCs w:val="24"/>
          <w:lang w:val="en-US"/>
        </w:rPr>
        <w:t xml:space="preserve"> or foreign funding of AP</w:t>
      </w:r>
      <w:r w:rsidR="00EF2D80" w:rsidRPr="00174674">
        <w:rPr>
          <w:rFonts w:ascii="Times New Roman" w:hAnsi="Times New Roman" w:cs="Times New Roman"/>
          <w:sz w:val="24"/>
          <w:szCs w:val="24"/>
          <w:lang w:val="en-US"/>
        </w:rPr>
        <w:t xml:space="preserve"> – </w:t>
      </w:r>
      <w:r w:rsidR="00460841" w:rsidRPr="00174674">
        <w:rPr>
          <w:rFonts w:ascii="Times New Roman" w:hAnsi="Times New Roman" w:cs="Times New Roman"/>
          <w:sz w:val="24"/>
          <w:szCs w:val="24"/>
          <w:lang w:val="en-US"/>
        </w:rPr>
        <w:t xml:space="preserve">the </w:t>
      </w:r>
      <w:r w:rsidR="00EF2D80" w:rsidRPr="00174674">
        <w:rPr>
          <w:rFonts w:ascii="Times New Roman" w:hAnsi="Times New Roman" w:cs="Times New Roman"/>
          <w:sz w:val="24"/>
          <w:szCs w:val="24"/>
          <w:lang w:val="en-US"/>
        </w:rPr>
        <w:t xml:space="preserve">NAPC started investigations only after direct appeals from NGOs. According to some observers, </w:t>
      </w:r>
      <w:r w:rsidR="00460841" w:rsidRPr="00174674">
        <w:rPr>
          <w:rFonts w:ascii="Times New Roman" w:hAnsi="Times New Roman" w:cs="Times New Roman"/>
          <w:sz w:val="24"/>
          <w:szCs w:val="24"/>
          <w:lang w:val="en-US"/>
        </w:rPr>
        <w:t xml:space="preserve">the </w:t>
      </w:r>
      <w:r w:rsidR="00EF2D80" w:rsidRPr="00174674">
        <w:rPr>
          <w:rFonts w:ascii="Times New Roman" w:hAnsi="Times New Roman" w:cs="Times New Roman"/>
          <w:sz w:val="24"/>
          <w:szCs w:val="24"/>
          <w:lang w:val="en-US"/>
        </w:rPr>
        <w:t>NAPC intentionally limits itself to scrutiny of data available in party reports and do not tries to analyze information that could be purposely omitted by parties, thus lowering quality of its analysis.</w:t>
      </w:r>
    </w:p>
    <w:p w:rsidR="00EF2D80" w:rsidRPr="00174674" w:rsidRDefault="00EF2D80"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Even more importantly, some observers have already raised doubts about impartiality of </w:t>
      </w:r>
      <w:r w:rsidR="00460841"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 xml:space="preserve">NAPC analysis. Up to now, </w:t>
      </w:r>
      <w:r w:rsidR="00460841"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NAPC has initiated serious investigations only against opposition parties, including</w:t>
      </w:r>
      <w:r w:rsidRPr="00174674">
        <w:rPr>
          <w:rFonts w:ascii="Times New Roman" w:hAnsi="Times New Roman" w:cs="Times New Roman"/>
          <w:i/>
          <w:sz w:val="24"/>
          <w:szCs w:val="24"/>
          <w:lang w:val="en-US"/>
        </w:rPr>
        <w:t xml:space="preserve"> </w:t>
      </w:r>
      <w:proofErr w:type="spellStart"/>
      <w:r w:rsidRPr="00174674">
        <w:rPr>
          <w:rFonts w:ascii="Times New Roman" w:hAnsi="Times New Roman" w:cs="Times New Roman"/>
          <w:i/>
          <w:sz w:val="24"/>
          <w:szCs w:val="24"/>
          <w:lang w:val="en-US"/>
        </w:rPr>
        <w:t>Batkivshchyna</w:t>
      </w:r>
      <w:proofErr w:type="spellEnd"/>
      <w:r w:rsidRPr="00174674">
        <w:rPr>
          <w:rFonts w:ascii="Times New Roman" w:hAnsi="Times New Roman" w:cs="Times New Roman"/>
          <w:sz w:val="24"/>
          <w:szCs w:val="24"/>
          <w:lang w:val="en-US"/>
        </w:rPr>
        <w:t xml:space="preserve">, </w:t>
      </w:r>
      <w:r w:rsidRPr="00174674">
        <w:rPr>
          <w:rFonts w:ascii="Times New Roman" w:hAnsi="Times New Roman" w:cs="Times New Roman"/>
          <w:i/>
          <w:sz w:val="24"/>
          <w:szCs w:val="24"/>
          <w:lang w:val="en-US"/>
        </w:rPr>
        <w:t>UKROP</w:t>
      </w:r>
      <w:r w:rsidRPr="00174674">
        <w:rPr>
          <w:rFonts w:ascii="Times New Roman" w:hAnsi="Times New Roman" w:cs="Times New Roman"/>
          <w:sz w:val="24"/>
          <w:szCs w:val="24"/>
          <w:lang w:val="en-US"/>
        </w:rPr>
        <w:t xml:space="preserve">, and </w:t>
      </w:r>
      <w:r w:rsidRPr="00174674">
        <w:rPr>
          <w:rFonts w:ascii="Times New Roman" w:hAnsi="Times New Roman" w:cs="Times New Roman"/>
          <w:i/>
          <w:sz w:val="24"/>
          <w:szCs w:val="24"/>
          <w:lang w:val="en-US"/>
        </w:rPr>
        <w:t>Svoboda</w:t>
      </w:r>
      <w:r w:rsidRPr="00174674">
        <w:rPr>
          <w:rFonts w:ascii="Times New Roman" w:hAnsi="Times New Roman" w:cs="Times New Roman"/>
          <w:sz w:val="24"/>
          <w:szCs w:val="24"/>
          <w:lang w:val="en-US"/>
        </w:rPr>
        <w:t xml:space="preserve">, while no similar actions targeted </w:t>
      </w:r>
      <w:r w:rsidR="005167F1" w:rsidRPr="00174674">
        <w:rPr>
          <w:rFonts w:ascii="Times New Roman" w:hAnsi="Times New Roman" w:cs="Times New Roman"/>
          <w:sz w:val="24"/>
          <w:szCs w:val="24"/>
          <w:lang w:val="en-US"/>
        </w:rPr>
        <w:t xml:space="preserve">ruling </w:t>
      </w:r>
      <w:r w:rsidRPr="00174674">
        <w:rPr>
          <w:rFonts w:ascii="Times New Roman" w:hAnsi="Times New Roman" w:cs="Times New Roman"/>
          <w:sz w:val="24"/>
          <w:szCs w:val="24"/>
          <w:lang w:val="en-US"/>
        </w:rPr>
        <w:t>PPB or PF. While</w:t>
      </w:r>
      <w:r w:rsidR="00FF409B" w:rsidRPr="00174674">
        <w:rPr>
          <w:rFonts w:ascii="Times New Roman" w:hAnsi="Times New Roman" w:cs="Times New Roman"/>
          <w:sz w:val="24"/>
          <w:szCs w:val="24"/>
          <w:lang w:val="en-US"/>
        </w:rPr>
        <w:t xml:space="preserve"> there is strong evidence </w:t>
      </w:r>
      <w:r w:rsidR="00577ACA" w:rsidRPr="00174674">
        <w:rPr>
          <w:rFonts w:ascii="Times New Roman" w:hAnsi="Times New Roman" w:cs="Times New Roman"/>
          <w:sz w:val="24"/>
          <w:szCs w:val="24"/>
          <w:lang w:val="en-US"/>
        </w:rPr>
        <w:t>of</w:t>
      </w:r>
      <w:r w:rsidRPr="00174674">
        <w:rPr>
          <w:rFonts w:ascii="Times New Roman" w:hAnsi="Times New Roman" w:cs="Times New Roman"/>
          <w:sz w:val="24"/>
          <w:szCs w:val="24"/>
          <w:lang w:val="en-US"/>
        </w:rPr>
        <w:t xml:space="preserve"> irregularities in reports of </w:t>
      </w:r>
      <w:r w:rsidR="002631FE" w:rsidRPr="00174674">
        <w:rPr>
          <w:rFonts w:ascii="Times New Roman" w:hAnsi="Times New Roman" w:cs="Times New Roman"/>
          <w:sz w:val="24"/>
          <w:szCs w:val="24"/>
          <w:lang w:val="en-US"/>
        </w:rPr>
        <w:t xml:space="preserve">the </w:t>
      </w:r>
      <w:r w:rsidR="003768F4" w:rsidRPr="00174674">
        <w:rPr>
          <w:rFonts w:ascii="Times New Roman" w:hAnsi="Times New Roman" w:cs="Times New Roman"/>
          <w:sz w:val="24"/>
          <w:szCs w:val="24"/>
          <w:lang w:val="en-US"/>
        </w:rPr>
        <w:t>mentioned</w:t>
      </w:r>
      <w:r w:rsidR="002631FE" w:rsidRPr="00174674">
        <w:rPr>
          <w:rFonts w:ascii="Times New Roman" w:hAnsi="Times New Roman" w:cs="Times New Roman"/>
          <w:sz w:val="24"/>
          <w:szCs w:val="24"/>
          <w:lang w:val="en-US"/>
        </w:rPr>
        <w:t xml:space="preserve"> opposition</w:t>
      </w:r>
      <w:r w:rsidR="00FF409B" w:rsidRPr="00174674">
        <w:rPr>
          <w:rFonts w:ascii="Times New Roman" w:hAnsi="Times New Roman" w:cs="Times New Roman"/>
          <w:sz w:val="24"/>
          <w:szCs w:val="24"/>
          <w:lang w:val="en-US"/>
        </w:rPr>
        <w:t xml:space="preserve"> parties, suspicions of</w:t>
      </w:r>
      <w:r w:rsidR="003768F4" w:rsidRPr="00174674">
        <w:rPr>
          <w:rFonts w:ascii="Times New Roman" w:hAnsi="Times New Roman" w:cs="Times New Roman"/>
          <w:sz w:val="24"/>
          <w:szCs w:val="24"/>
          <w:lang w:val="en-US"/>
        </w:rPr>
        <w:t xml:space="preserve"> similar</w:t>
      </w:r>
      <w:r w:rsidR="00FF409B" w:rsidRPr="00174674">
        <w:rPr>
          <w:rFonts w:ascii="Times New Roman" w:hAnsi="Times New Roman" w:cs="Times New Roman"/>
          <w:sz w:val="24"/>
          <w:szCs w:val="24"/>
          <w:lang w:val="en-US"/>
        </w:rPr>
        <w:t xml:space="preserve"> violations by rul</w:t>
      </w:r>
      <w:r w:rsidR="003768F4" w:rsidRPr="00174674">
        <w:rPr>
          <w:rFonts w:ascii="Times New Roman" w:hAnsi="Times New Roman" w:cs="Times New Roman"/>
          <w:sz w:val="24"/>
          <w:szCs w:val="24"/>
          <w:lang w:val="en-US"/>
        </w:rPr>
        <w:t>ing parties raised by some NGOs</w:t>
      </w:r>
      <w:r w:rsidR="00FF409B" w:rsidRPr="00174674">
        <w:rPr>
          <w:rFonts w:ascii="Times New Roman" w:hAnsi="Times New Roman" w:cs="Times New Roman"/>
          <w:sz w:val="24"/>
          <w:szCs w:val="24"/>
          <w:lang w:val="en-US"/>
        </w:rPr>
        <w:t xml:space="preserve"> has been ignored. For instance, </w:t>
      </w:r>
      <w:r w:rsidR="00FF409B" w:rsidRPr="00174674">
        <w:rPr>
          <w:rFonts w:ascii="Times New Roman" w:hAnsi="Times New Roman" w:cs="Times New Roman"/>
          <w:i/>
          <w:sz w:val="24"/>
          <w:szCs w:val="24"/>
          <w:lang w:val="en-US"/>
        </w:rPr>
        <w:t>CHESHNO</w:t>
      </w:r>
      <w:r w:rsidR="00FF409B" w:rsidRPr="00174674">
        <w:rPr>
          <w:rFonts w:ascii="Times New Roman" w:hAnsi="Times New Roman" w:cs="Times New Roman"/>
          <w:sz w:val="24"/>
          <w:szCs w:val="24"/>
          <w:lang w:val="en-US"/>
        </w:rPr>
        <w:t xml:space="preserve"> investigation implied that PF had concealed over UAH 1</w:t>
      </w:r>
      <w:r w:rsidR="003768F4" w:rsidRPr="00174674">
        <w:rPr>
          <w:rFonts w:ascii="Times New Roman" w:hAnsi="Times New Roman" w:cs="Times New Roman"/>
          <w:sz w:val="24"/>
          <w:szCs w:val="24"/>
          <w:lang w:val="en-US"/>
        </w:rPr>
        <w:t xml:space="preserve"> </w:t>
      </w:r>
      <w:proofErr w:type="spellStart"/>
      <w:r w:rsidR="003768F4" w:rsidRPr="00174674">
        <w:rPr>
          <w:rFonts w:ascii="Times New Roman" w:hAnsi="Times New Roman" w:cs="Times New Roman"/>
          <w:sz w:val="24"/>
          <w:szCs w:val="24"/>
          <w:lang w:val="en-US"/>
        </w:rPr>
        <w:t>mn</w:t>
      </w:r>
      <w:proofErr w:type="spellEnd"/>
      <w:r w:rsidR="003768F4" w:rsidRPr="00174674">
        <w:rPr>
          <w:rFonts w:ascii="Times New Roman" w:hAnsi="Times New Roman" w:cs="Times New Roman"/>
          <w:sz w:val="24"/>
          <w:szCs w:val="24"/>
          <w:lang w:val="en-US"/>
        </w:rPr>
        <w:t xml:space="preserve"> of</w:t>
      </w:r>
      <w:r w:rsidR="00FF409B" w:rsidRPr="00174674">
        <w:rPr>
          <w:rFonts w:ascii="Times New Roman" w:hAnsi="Times New Roman" w:cs="Times New Roman"/>
          <w:sz w:val="24"/>
          <w:szCs w:val="24"/>
          <w:lang w:val="en-US"/>
        </w:rPr>
        <w:t xml:space="preserve"> expenses on hidden advertisement (</w:t>
      </w:r>
      <w:proofErr w:type="spellStart"/>
      <w:r w:rsidR="000B7B70" w:rsidRPr="00174674">
        <w:rPr>
          <w:rFonts w:ascii="Times New Roman" w:hAnsi="Times New Roman" w:cs="Times New Roman"/>
          <w:i/>
          <w:sz w:val="24"/>
          <w:szCs w:val="24"/>
          <w:lang w:val="en-US"/>
        </w:rPr>
        <w:t>dzh</w:t>
      </w:r>
      <w:r w:rsidR="00FF409B" w:rsidRPr="00174674">
        <w:rPr>
          <w:rFonts w:ascii="Times New Roman" w:hAnsi="Times New Roman" w:cs="Times New Roman"/>
          <w:i/>
          <w:sz w:val="24"/>
          <w:szCs w:val="24"/>
          <w:lang w:val="en-US"/>
        </w:rPr>
        <w:t>ynsa</w:t>
      </w:r>
      <w:proofErr w:type="spellEnd"/>
      <w:r w:rsidR="00FF409B" w:rsidRPr="00174674">
        <w:rPr>
          <w:rFonts w:ascii="Times New Roman" w:hAnsi="Times New Roman" w:cs="Times New Roman"/>
          <w:sz w:val="24"/>
          <w:szCs w:val="24"/>
          <w:lang w:val="en-US"/>
        </w:rPr>
        <w:t>) in media</w:t>
      </w:r>
      <w:r w:rsidR="00FF409B" w:rsidRPr="00174674">
        <w:rPr>
          <w:rFonts w:ascii="Times New Roman" w:hAnsi="Times New Roman" w:cs="Times New Roman"/>
          <w:sz w:val="24"/>
          <w:szCs w:val="24"/>
          <w:lang w:val="uk-UA"/>
        </w:rPr>
        <w:t xml:space="preserve"> </w:t>
      </w:r>
      <w:r w:rsidR="00FF409B" w:rsidRPr="00174674">
        <w:rPr>
          <w:rFonts w:ascii="Times New Roman" w:hAnsi="Times New Roman" w:cs="Times New Roman"/>
          <w:sz w:val="24"/>
          <w:szCs w:val="24"/>
          <w:lang w:val="en-US"/>
        </w:rPr>
        <w:t>(</w:t>
      </w:r>
      <w:proofErr w:type="spellStart"/>
      <w:r w:rsidR="00FF409B" w:rsidRPr="00174674">
        <w:rPr>
          <w:rFonts w:ascii="Times New Roman" w:hAnsi="Times New Roman" w:cs="Times New Roman"/>
          <w:sz w:val="24"/>
          <w:szCs w:val="24"/>
          <w:lang w:val="en-US"/>
        </w:rPr>
        <w:t>Kuchma</w:t>
      </w:r>
      <w:proofErr w:type="spellEnd"/>
      <w:r w:rsidR="00FF409B" w:rsidRPr="00174674">
        <w:rPr>
          <w:rFonts w:ascii="Times New Roman" w:hAnsi="Times New Roman" w:cs="Times New Roman"/>
          <w:sz w:val="24"/>
          <w:szCs w:val="24"/>
          <w:lang w:val="en-US"/>
        </w:rPr>
        <w:t xml:space="preserve">, </w:t>
      </w:r>
      <w:proofErr w:type="spellStart"/>
      <w:r w:rsidR="00FF409B" w:rsidRPr="00174674">
        <w:rPr>
          <w:rFonts w:ascii="Times New Roman" w:hAnsi="Times New Roman" w:cs="Times New Roman"/>
          <w:sz w:val="24"/>
          <w:szCs w:val="24"/>
          <w:lang w:val="en-US"/>
        </w:rPr>
        <w:t>Kelm</w:t>
      </w:r>
      <w:proofErr w:type="spellEnd"/>
      <w:r w:rsidR="00FF409B" w:rsidRPr="00174674">
        <w:rPr>
          <w:rFonts w:ascii="Times New Roman" w:hAnsi="Times New Roman" w:cs="Times New Roman"/>
          <w:sz w:val="24"/>
          <w:szCs w:val="24"/>
          <w:lang w:val="en-US"/>
        </w:rPr>
        <w:t xml:space="preserve">, </w:t>
      </w:r>
      <w:proofErr w:type="spellStart"/>
      <w:r w:rsidR="00FF409B" w:rsidRPr="00174674">
        <w:rPr>
          <w:rFonts w:ascii="Times New Roman" w:hAnsi="Times New Roman" w:cs="Times New Roman"/>
          <w:sz w:val="24"/>
          <w:szCs w:val="24"/>
          <w:lang w:val="en-US"/>
        </w:rPr>
        <w:t>Feshchenko</w:t>
      </w:r>
      <w:proofErr w:type="spellEnd"/>
      <w:r w:rsidR="00FF409B" w:rsidRPr="00174674">
        <w:rPr>
          <w:rFonts w:ascii="Times New Roman" w:hAnsi="Times New Roman" w:cs="Times New Roman"/>
          <w:sz w:val="24"/>
          <w:szCs w:val="24"/>
          <w:lang w:val="en-US"/>
        </w:rPr>
        <w:t xml:space="preserve">, 2016). However, after brief efforts by </w:t>
      </w:r>
      <w:r w:rsidR="00460841" w:rsidRPr="00174674">
        <w:rPr>
          <w:rFonts w:ascii="Times New Roman" w:hAnsi="Times New Roman" w:cs="Times New Roman"/>
          <w:sz w:val="24"/>
          <w:szCs w:val="24"/>
          <w:lang w:val="en-US"/>
        </w:rPr>
        <w:t xml:space="preserve">the </w:t>
      </w:r>
      <w:r w:rsidR="00FF409B" w:rsidRPr="00174674">
        <w:rPr>
          <w:rFonts w:ascii="Times New Roman" w:hAnsi="Times New Roman" w:cs="Times New Roman"/>
          <w:sz w:val="24"/>
          <w:szCs w:val="24"/>
          <w:lang w:val="en-US"/>
        </w:rPr>
        <w:t>NAPC to investigate this case, it found no violations, raising suspicion about political motives in its actions.</w:t>
      </w:r>
    </w:p>
    <w:p w:rsidR="00CD25E8" w:rsidRPr="00174674" w:rsidRDefault="00CD25E8"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Experts also raised doubts about effectiveness of communication efforts of </w:t>
      </w:r>
      <w:r w:rsidR="00460841"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 xml:space="preserve">NAPC. Although it generally obeys the law by timely publishing party reports and brief results of their analysis on its website, it refuses to publish </w:t>
      </w:r>
      <w:r w:rsidR="007A5E79" w:rsidRPr="00174674">
        <w:rPr>
          <w:rFonts w:ascii="Times New Roman" w:hAnsi="Times New Roman" w:cs="Times New Roman"/>
          <w:sz w:val="24"/>
          <w:szCs w:val="24"/>
          <w:lang w:val="en-US"/>
        </w:rPr>
        <w:t xml:space="preserve">detailed investigation reports, which prevents interested actors from knowing exactly what violations have been found in what party reports. With some exceptions, </w:t>
      </w:r>
      <w:r w:rsidR="00460841" w:rsidRPr="00174674">
        <w:rPr>
          <w:rFonts w:ascii="Times New Roman" w:hAnsi="Times New Roman" w:cs="Times New Roman"/>
          <w:sz w:val="24"/>
          <w:szCs w:val="24"/>
          <w:lang w:val="en-US"/>
        </w:rPr>
        <w:t xml:space="preserve">the </w:t>
      </w:r>
      <w:r w:rsidR="007A5E79" w:rsidRPr="00174674">
        <w:rPr>
          <w:rFonts w:ascii="Times New Roman" w:hAnsi="Times New Roman" w:cs="Times New Roman"/>
          <w:sz w:val="24"/>
          <w:szCs w:val="24"/>
          <w:lang w:val="en-US"/>
        </w:rPr>
        <w:t xml:space="preserve">NAPC also has refrained from summarizing results of their analysis in a manner that is accessible to the public. This discourages media </w:t>
      </w:r>
      <w:r w:rsidR="007A5E79" w:rsidRPr="00174674">
        <w:rPr>
          <w:rFonts w:ascii="Times New Roman" w:hAnsi="Times New Roman" w:cs="Times New Roman"/>
          <w:sz w:val="24"/>
          <w:szCs w:val="24"/>
          <w:lang w:val="en-US"/>
        </w:rPr>
        <w:lastRenderedPageBreak/>
        <w:t xml:space="preserve">from expressing interest in results of monitoring of party reports and complicates efforts by ordinary citizens </w:t>
      </w:r>
      <w:r w:rsidR="003768F4" w:rsidRPr="00174674">
        <w:rPr>
          <w:rFonts w:ascii="Times New Roman" w:hAnsi="Times New Roman" w:cs="Times New Roman"/>
          <w:sz w:val="24"/>
          <w:szCs w:val="24"/>
          <w:lang w:val="en-US"/>
        </w:rPr>
        <w:t>to</w:t>
      </w:r>
      <w:r w:rsidR="007A5E79" w:rsidRPr="00174674">
        <w:rPr>
          <w:rFonts w:ascii="Times New Roman" w:hAnsi="Times New Roman" w:cs="Times New Roman"/>
          <w:sz w:val="24"/>
          <w:szCs w:val="24"/>
          <w:lang w:val="en-US"/>
        </w:rPr>
        <w:t xml:space="preserve"> rais</w:t>
      </w:r>
      <w:r w:rsidR="003768F4" w:rsidRPr="00174674">
        <w:rPr>
          <w:rFonts w:ascii="Times New Roman" w:hAnsi="Times New Roman" w:cs="Times New Roman"/>
          <w:sz w:val="24"/>
          <w:szCs w:val="24"/>
          <w:lang w:val="en-US"/>
        </w:rPr>
        <w:t>e</w:t>
      </w:r>
      <w:r w:rsidR="007A5E79" w:rsidRPr="00174674">
        <w:rPr>
          <w:rFonts w:ascii="Times New Roman" w:hAnsi="Times New Roman" w:cs="Times New Roman"/>
          <w:sz w:val="24"/>
          <w:szCs w:val="24"/>
          <w:lang w:val="en-US"/>
        </w:rPr>
        <w:t xml:space="preserve"> their awareness in the area of political finance and develop informed electoral choice.</w:t>
      </w:r>
    </w:p>
    <w:p w:rsidR="00766D02" w:rsidRPr="00174674" w:rsidRDefault="00547A3D"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Meanwhile, public visibility of the political finance reform remains rather low. In August 2016, only 21 per cent of Ukrainians heard about start of public funding of parties, the most well- communicated </w:t>
      </w:r>
      <w:r w:rsidR="003768F4" w:rsidRPr="00174674">
        <w:rPr>
          <w:rFonts w:ascii="Times New Roman" w:hAnsi="Times New Roman" w:cs="Times New Roman"/>
          <w:sz w:val="24"/>
          <w:szCs w:val="24"/>
          <w:lang w:val="en-US"/>
        </w:rPr>
        <w:t>novelty</w:t>
      </w:r>
      <w:r w:rsidRPr="00174674">
        <w:rPr>
          <w:rFonts w:ascii="Times New Roman" w:hAnsi="Times New Roman" w:cs="Times New Roman"/>
          <w:sz w:val="24"/>
          <w:szCs w:val="24"/>
          <w:lang w:val="en-US"/>
        </w:rPr>
        <w:t xml:space="preserve">, </w:t>
      </w:r>
      <w:r w:rsidR="003768F4" w:rsidRPr="00174674">
        <w:rPr>
          <w:rFonts w:ascii="Times New Roman" w:hAnsi="Times New Roman" w:cs="Times New Roman"/>
          <w:sz w:val="24"/>
          <w:szCs w:val="24"/>
          <w:lang w:val="en-US"/>
        </w:rPr>
        <w:t>and</w:t>
      </w:r>
      <w:r w:rsidRPr="00174674">
        <w:rPr>
          <w:rFonts w:ascii="Times New Roman" w:hAnsi="Times New Roman" w:cs="Times New Roman"/>
          <w:sz w:val="24"/>
          <w:szCs w:val="24"/>
          <w:lang w:val="en-US"/>
        </w:rPr>
        <w:t xml:space="preserve"> clear majority (65 per cent) opposed this initiative. Attention of media to the issues of political finance has also been very limited, a</w:t>
      </w:r>
      <w:r w:rsidR="004103AC" w:rsidRPr="00174674">
        <w:rPr>
          <w:rFonts w:ascii="Times New Roman" w:hAnsi="Times New Roman" w:cs="Times New Roman"/>
          <w:sz w:val="24"/>
          <w:szCs w:val="24"/>
          <w:lang w:val="en-US"/>
        </w:rPr>
        <w:t xml:space="preserve">s </w:t>
      </w:r>
      <w:r w:rsidR="00577BB5" w:rsidRPr="00174674">
        <w:rPr>
          <w:rFonts w:ascii="Times New Roman" w:hAnsi="Times New Roman" w:cs="Times New Roman"/>
          <w:sz w:val="24"/>
          <w:szCs w:val="24"/>
          <w:lang w:val="en-US"/>
        </w:rPr>
        <w:t>journalists</w:t>
      </w:r>
      <w:r w:rsidRPr="00174674">
        <w:rPr>
          <w:rFonts w:ascii="Times New Roman" w:hAnsi="Times New Roman" w:cs="Times New Roman"/>
          <w:sz w:val="24"/>
          <w:szCs w:val="24"/>
          <w:lang w:val="en-US"/>
        </w:rPr>
        <w:t xml:space="preserve"> </w:t>
      </w:r>
      <w:r w:rsidR="003768F4" w:rsidRPr="00174674">
        <w:rPr>
          <w:rFonts w:ascii="Times New Roman" w:hAnsi="Times New Roman" w:cs="Times New Roman"/>
          <w:sz w:val="24"/>
          <w:szCs w:val="24"/>
          <w:lang w:val="en-US"/>
        </w:rPr>
        <w:t xml:space="preserve">have </w:t>
      </w:r>
      <w:r w:rsidRPr="00174674">
        <w:rPr>
          <w:rFonts w:ascii="Times New Roman" w:hAnsi="Times New Roman" w:cs="Times New Roman"/>
          <w:sz w:val="24"/>
          <w:szCs w:val="24"/>
          <w:lang w:val="en-US"/>
        </w:rPr>
        <w:t>display</w:t>
      </w:r>
      <w:r w:rsidR="003768F4" w:rsidRPr="00174674">
        <w:rPr>
          <w:rFonts w:ascii="Times New Roman" w:hAnsi="Times New Roman" w:cs="Times New Roman"/>
          <w:sz w:val="24"/>
          <w:szCs w:val="24"/>
          <w:lang w:val="en-US"/>
        </w:rPr>
        <w:t>ed</w:t>
      </w:r>
      <w:r w:rsidRPr="00174674">
        <w:rPr>
          <w:rFonts w:ascii="Times New Roman" w:hAnsi="Times New Roman" w:cs="Times New Roman"/>
          <w:sz w:val="24"/>
          <w:szCs w:val="24"/>
          <w:lang w:val="en-US"/>
        </w:rPr>
        <w:t xml:space="preserve"> considerably more interest in another area of the NAPC responsibility – analysis of electronic declarations of public officials. </w:t>
      </w:r>
      <w:r w:rsidR="003768F4" w:rsidRPr="00174674">
        <w:rPr>
          <w:rFonts w:ascii="Times New Roman" w:hAnsi="Times New Roman" w:cs="Times New Roman"/>
          <w:sz w:val="24"/>
          <w:szCs w:val="24"/>
          <w:lang w:val="en-US"/>
        </w:rPr>
        <w:t>While several NGOs have tried to raise awareness of the reform, the NAPC and parties offered little support to their initiatives.</w:t>
      </w:r>
    </w:p>
    <w:p w:rsidR="00A43788" w:rsidRDefault="00A43788">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547A3D" w:rsidRPr="00174674" w:rsidRDefault="00E647F6" w:rsidP="00174674">
      <w:pPr>
        <w:spacing w:after="120" w:line="240" w:lineRule="auto"/>
        <w:ind w:firstLine="426"/>
        <w:rPr>
          <w:rFonts w:ascii="Times New Roman" w:hAnsi="Times New Roman" w:cs="Times New Roman"/>
          <w:sz w:val="24"/>
          <w:szCs w:val="24"/>
          <w:lang w:val="en-US"/>
        </w:rPr>
      </w:pPr>
      <w:r>
        <w:rPr>
          <w:rFonts w:ascii="Times New Roman" w:hAnsi="Times New Roman" w:cs="Times New Roman"/>
          <w:b/>
          <w:sz w:val="24"/>
          <w:szCs w:val="24"/>
          <w:lang w:val="en-US"/>
        </w:rPr>
        <w:lastRenderedPageBreak/>
        <w:t>RECOMMENDATIONS</w:t>
      </w:r>
    </w:p>
    <w:p w:rsidR="00CD25E8" w:rsidRPr="00174674" w:rsidRDefault="00CB0C8D"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Relying on</w:t>
      </w:r>
      <w:r w:rsidR="00AF27BB" w:rsidRPr="00174674">
        <w:rPr>
          <w:rFonts w:ascii="Times New Roman" w:hAnsi="Times New Roman" w:cs="Times New Roman"/>
          <w:sz w:val="24"/>
          <w:szCs w:val="24"/>
          <w:lang w:val="en-US"/>
        </w:rPr>
        <w:t xml:space="preserve"> the analysis presented above, </w:t>
      </w:r>
      <w:r w:rsidRPr="00174674">
        <w:rPr>
          <w:rFonts w:ascii="Times New Roman" w:hAnsi="Times New Roman" w:cs="Times New Roman"/>
          <w:sz w:val="24"/>
          <w:szCs w:val="24"/>
          <w:lang w:val="en-US"/>
        </w:rPr>
        <w:t xml:space="preserve">the </w:t>
      </w:r>
      <w:r w:rsidR="00AF27BB" w:rsidRPr="00174674">
        <w:rPr>
          <w:rFonts w:ascii="Times New Roman" w:hAnsi="Times New Roman" w:cs="Times New Roman"/>
          <w:sz w:val="24"/>
          <w:szCs w:val="24"/>
          <w:lang w:val="en-US"/>
        </w:rPr>
        <w:t>reports of GRECO and OSCE/ODIHR, and guidelines of other international organizations, the following recommendations aimed at improving current regulation of political finance in Ukraine could be made.</w:t>
      </w:r>
    </w:p>
    <w:p w:rsidR="00AF27BB" w:rsidRPr="00174674" w:rsidRDefault="00AF27BB" w:rsidP="00C03A08">
      <w:pPr>
        <w:spacing w:after="120" w:line="240" w:lineRule="auto"/>
        <w:ind w:firstLine="426"/>
        <w:jc w:val="both"/>
        <w:rPr>
          <w:rFonts w:ascii="Times New Roman" w:hAnsi="Times New Roman" w:cs="Times New Roman"/>
          <w:b/>
          <w:i/>
          <w:sz w:val="24"/>
          <w:szCs w:val="24"/>
          <w:lang w:val="en-US"/>
        </w:rPr>
      </w:pPr>
      <w:r w:rsidRPr="00174674">
        <w:rPr>
          <w:rFonts w:ascii="Times New Roman" w:hAnsi="Times New Roman" w:cs="Times New Roman"/>
          <w:b/>
          <w:i/>
          <w:sz w:val="24"/>
          <w:szCs w:val="24"/>
          <w:lang w:val="en-US"/>
        </w:rPr>
        <w:t>1. For the Ukrainian parliament.</w:t>
      </w:r>
    </w:p>
    <w:p w:rsidR="000A5275" w:rsidRPr="00174674" w:rsidRDefault="00AF27BB"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1) </w:t>
      </w:r>
      <w:r w:rsidRPr="00174674">
        <w:rPr>
          <w:rFonts w:ascii="Times New Roman" w:hAnsi="Times New Roman" w:cs="Times New Roman"/>
          <w:i/>
          <w:sz w:val="24"/>
          <w:szCs w:val="24"/>
          <w:lang w:val="en-US"/>
        </w:rPr>
        <w:t>To harmonize rules on donations to electoral funds for all types of elections</w:t>
      </w:r>
      <w:r w:rsidRPr="00174674">
        <w:rPr>
          <w:rFonts w:ascii="Times New Roman" w:hAnsi="Times New Roman" w:cs="Times New Roman"/>
          <w:sz w:val="24"/>
          <w:szCs w:val="24"/>
          <w:lang w:val="en-US"/>
        </w:rPr>
        <w:t xml:space="preserve">. This would include amending the law on local elections in order to bring it in line the law on political finance. </w:t>
      </w:r>
    </w:p>
    <w:p w:rsidR="00AF27BB" w:rsidRPr="00174674" w:rsidRDefault="000A5275"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2) </w:t>
      </w:r>
      <w:r w:rsidRPr="00174674">
        <w:rPr>
          <w:rFonts w:ascii="Times New Roman" w:hAnsi="Times New Roman" w:cs="Times New Roman"/>
          <w:i/>
          <w:sz w:val="24"/>
          <w:szCs w:val="24"/>
          <w:lang w:val="en-US"/>
        </w:rPr>
        <w:t xml:space="preserve">To introduce campaign spending limits for presidential and local elections. </w:t>
      </w:r>
      <w:r w:rsidR="00AF27BB" w:rsidRPr="00174674">
        <w:rPr>
          <w:rFonts w:ascii="Times New Roman" w:hAnsi="Times New Roman" w:cs="Times New Roman"/>
          <w:sz w:val="24"/>
          <w:szCs w:val="24"/>
          <w:lang w:val="en-US"/>
        </w:rPr>
        <w:t xml:space="preserve">Ukrainian lawmakers </w:t>
      </w:r>
      <w:r w:rsidRPr="00174674">
        <w:rPr>
          <w:rFonts w:ascii="Times New Roman" w:hAnsi="Times New Roman" w:cs="Times New Roman"/>
          <w:sz w:val="24"/>
          <w:szCs w:val="24"/>
          <w:lang w:val="en-US"/>
        </w:rPr>
        <w:t>sh</w:t>
      </w:r>
      <w:r w:rsidR="00AF27BB" w:rsidRPr="00174674">
        <w:rPr>
          <w:rFonts w:ascii="Times New Roman" w:hAnsi="Times New Roman" w:cs="Times New Roman"/>
          <w:sz w:val="24"/>
          <w:szCs w:val="24"/>
          <w:lang w:val="en-US"/>
        </w:rPr>
        <w:t>ould consider establishing caps on electoral spending for presidential and local elections similar to those envisaged in the law on parliamentary elections.</w:t>
      </w:r>
    </w:p>
    <w:p w:rsidR="00AF27BB" w:rsidRPr="00174674" w:rsidRDefault="000A5275"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3</w:t>
      </w:r>
      <w:r w:rsidR="00AF27BB" w:rsidRPr="00174674">
        <w:rPr>
          <w:rFonts w:ascii="Times New Roman" w:hAnsi="Times New Roman" w:cs="Times New Roman"/>
          <w:sz w:val="24"/>
          <w:szCs w:val="24"/>
          <w:lang w:val="en-US"/>
        </w:rPr>
        <w:t xml:space="preserve">) </w:t>
      </w:r>
      <w:r w:rsidR="00AF27BB" w:rsidRPr="00174674">
        <w:rPr>
          <w:rFonts w:ascii="Times New Roman" w:hAnsi="Times New Roman" w:cs="Times New Roman"/>
          <w:i/>
          <w:sz w:val="24"/>
          <w:szCs w:val="24"/>
          <w:lang w:val="en-US"/>
        </w:rPr>
        <w:t xml:space="preserve">To </w:t>
      </w:r>
      <w:r w:rsidR="0017032B" w:rsidRPr="00174674">
        <w:rPr>
          <w:rFonts w:ascii="Times New Roman" w:hAnsi="Times New Roman" w:cs="Times New Roman"/>
          <w:i/>
          <w:sz w:val="24"/>
          <w:szCs w:val="24"/>
          <w:lang w:val="en-US"/>
        </w:rPr>
        <w:t>consider abolishing party and candidate ‘own funds’ as a source of their electoral funds.</w:t>
      </w:r>
      <w:r w:rsidR="00677634" w:rsidRPr="00174674">
        <w:rPr>
          <w:rFonts w:ascii="Times New Roman" w:hAnsi="Times New Roman" w:cs="Times New Roman"/>
          <w:sz w:val="24"/>
          <w:szCs w:val="24"/>
          <w:lang w:val="en-US"/>
        </w:rPr>
        <w:t xml:space="preserve"> The parliament could prescribe that electoral funds could be formed only through contributions from natural and legal persons.</w:t>
      </w:r>
    </w:p>
    <w:p w:rsidR="00AF27BB" w:rsidRPr="00174674" w:rsidRDefault="000A5275"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4</w:t>
      </w:r>
      <w:r w:rsidR="00AF27BB" w:rsidRPr="00174674">
        <w:rPr>
          <w:rFonts w:ascii="Times New Roman" w:hAnsi="Times New Roman" w:cs="Times New Roman"/>
          <w:sz w:val="24"/>
          <w:szCs w:val="24"/>
          <w:lang w:val="en-US"/>
        </w:rPr>
        <w:t xml:space="preserve">) </w:t>
      </w:r>
      <w:r w:rsidR="00AF27BB" w:rsidRPr="00174674">
        <w:rPr>
          <w:rFonts w:ascii="Times New Roman" w:hAnsi="Times New Roman" w:cs="Times New Roman"/>
          <w:i/>
          <w:sz w:val="24"/>
          <w:szCs w:val="24"/>
          <w:lang w:val="en-US"/>
        </w:rPr>
        <w:t>To regulate third party electoral spending.</w:t>
      </w:r>
      <w:r w:rsidR="00AF27BB" w:rsidRPr="00174674">
        <w:rPr>
          <w:rFonts w:ascii="Times New Roman" w:hAnsi="Times New Roman" w:cs="Times New Roman"/>
          <w:sz w:val="24"/>
          <w:szCs w:val="24"/>
          <w:lang w:val="en-US"/>
        </w:rPr>
        <w:t xml:space="preserve"> This could be done either by e</w:t>
      </w:r>
      <w:r w:rsidR="00CB0C8D" w:rsidRPr="00174674">
        <w:rPr>
          <w:rFonts w:ascii="Times New Roman" w:hAnsi="Times New Roman" w:cs="Times New Roman"/>
          <w:sz w:val="24"/>
          <w:szCs w:val="24"/>
          <w:lang w:val="en-US"/>
        </w:rPr>
        <w:t>xplicitly forbidding third parties</w:t>
      </w:r>
      <w:r w:rsidR="00AF27BB" w:rsidRPr="00174674">
        <w:rPr>
          <w:rFonts w:ascii="Times New Roman" w:hAnsi="Times New Roman" w:cs="Times New Roman"/>
          <w:sz w:val="24"/>
          <w:szCs w:val="24"/>
          <w:lang w:val="en-US"/>
        </w:rPr>
        <w:t xml:space="preserve"> to finance electoral expenses of parties and candidates </w:t>
      </w:r>
      <w:r w:rsidR="008052DF" w:rsidRPr="00174674">
        <w:rPr>
          <w:rFonts w:ascii="Times New Roman" w:hAnsi="Times New Roman" w:cs="Times New Roman"/>
          <w:sz w:val="24"/>
          <w:szCs w:val="24"/>
          <w:lang w:val="en-US"/>
        </w:rPr>
        <w:t xml:space="preserve">and establishing related sanctions </w:t>
      </w:r>
      <w:r w:rsidR="00AF27BB" w:rsidRPr="00174674">
        <w:rPr>
          <w:rFonts w:ascii="Times New Roman" w:hAnsi="Times New Roman" w:cs="Times New Roman"/>
          <w:sz w:val="24"/>
          <w:szCs w:val="24"/>
          <w:lang w:val="en-US"/>
        </w:rPr>
        <w:t xml:space="preserve">or by </w:t>
      </w:r>
      <w:r w:rsidR="008052DF" w:rsidRPr="00174674">
        <w:rPr>
          <w:rFonts w:ascii="Times New Roman" w:hAnsi="Times New Roman" w:cs="Times New Roman"/>
          <w:sz w:val="24"/>
          <w:szCs w:val="24"/>
          <w:lang w:val="en-US"/>
        </w:rPr>
        <w:t>obliging</w:t>
      </w:r>
      <w:r w:rsidR="00AF27BB" w:rsidRPr="00174674">
        <w:rPr>
          <w:rFonts w:ascii="Times New Roman" w:hAnsi="Times New Roman" w:cs="Times New Roman"/>
          <w:sz w:val="24"/>
          <w:szCs w:val="24"/>
          <w:lang w:val="en-US"/>
        </w:rPr>
        <w:t xml:space="preserve"> third parties willing to </w:t>
      </w:r>
      <w:r w:rsidR="0017032B" w:rsidRPr="00174674">
        <w:rPr>
          <w:rFonts w:ascii="Times New Roman" w:hAnsi="Times New Roman" w:cs="Times New Roman"/>
          <w:sz w:val="24"/>
          <w:szCs w:val="24"/>
          <w:lang w:val="en-US"/>
        </w:rPr>
        <w:t xml:space="preserve">engage in campaign spending </w:t>
      </w:r>
      <w:r w:rsidR="00AF27BB" w:rsidRPr="00174674">
        <w:rPr>
          <w:rFonts w:ascii="Times New Roman" w:hAnsi="Times New Roman" w:cs="Times New Roman"/>
          <w:sz w:val="24"/>
          <w:szCs w:val="24"/>
          <w:lang w:val="en-US"/>
        </w:rPr>
        <w:t xml:space="preserve">to </w:t>
      </w:r>
      <w:r w:rsidR="008052DF" w:rsidRPr="00174674">
        <w:rPr>
          <w:rFonts w:ascii="Times New Roman" w:hAnsi="Times New Roman" w:cs="Times New Roman"/>
          <w:sz w:val="24"/>
          <w:szCs w:val="24"/>
          <w:lang w:val="en-US"/>
        </w:rPr>
        <w:t>file their financial reports</w:t>
      </w:r>
      <w:r w:rsidR="0017032B" w:rsidRPr="00174674">
        <w:rPr>
          <w:rFonts w:ascii="Times New Roman" w:hAnsi="Times New Roman" w:cs="Times New Roman"/>
          <w:sz w:val="24"/>
          <w:szCs w:val="24"/>
          <w:lang w:val="en-US"/>
        </w:rPr>
        <w:t>.</w:t>
      </w:r>
    </w:p>
    <w:p w:rsidR="0017032B" w:rsidRPr="00174674" w:rsidRDefault="000A5275"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5</w:t>
      </w:r>
      <w:r w:rsidR="0017032B" w:rsidRPr="00174674">
        <w:rPr>
          <w:rFonts w:ascii="Times New Roman" w:hAnsi="Times New Roman" w:cs="Times New Roman"/>
          <w:sz w:val="24"/>
          <w:szCs w:val="24"/>
          <w:lang w:val="en-US"/>
        </w:rPr>
        <w:t xml:space="preserve">) </w:t>
      </w:r>
      <w:r w:rsidR="0017032B" w:rsidRPr="00174674">
        <w:rPr>
          <w:rFonts w:ascii="Times New Roman" w:hAnsi="Times New Roman" w:cs="Times New Roman"/>
          <w:i/>
          <w:sz w:val="24"/>
          <w:szCs w:val="24"/>
          <w:lang w:val="en-US"/>
        </w:rPr>
        <w:t>To c</w:t>
      </w:r>
      <w:r w:rsidR="00CB0C8D" w:rsidRPr="00174674">
        <w:rPr>
          <w:rFonts w:ascii="Times New Roman" w:hAnsi="Times New Roman" w:cs="Times New Roman"/>
          <w:i/>
          <w:sz w:val="24"/>
          <w:szCs w:val="24"/>
          <w:lang w:val="en-US"/>
        </w:rPr>
        <w:t>learly determine</w:t>
      </w:r>
      <w:r w:rsidR="0017032B" w:rsidRPr="00174674">
        <w:rPr>
          <w:rFonts w:ascii="Times New Roman" w:hAnsi="Times New Roman" w:cs="Times New Roman"/>
          <w:i/>
          <w:sz w:val="24"/>
          <w:szCs w:val="24"/>
          <w:lang w:val="en-US"/>
        </w:rPr>
        <w:t xml:space="preserve"> for which </w:t>
      </w:r>
      <w:r w:rsidR="00C909D1" w:rsidRPr="00174674">
        <w:rPr>
          <w:rFonts w:ascii="Times New Roman" w:hAnsi="Times New Roman" w:cs="Times New Roman"/>
          <w:i/>
          <w:sz w:val="24"/>
          <w:szCs w:val="24"/>
          <w:lang w:val="en-US"/>
        </w:rPr>
        <w:t xml:space="preserve">purposes </w:t>
      </w:r>
      <w:r w:rsidR="0017032B" w:rsidRPr="00174674">
        <w:rPr>
          <w:rFonts w:ascii="Times New Roman" w:hAnsi="Times New Roman" w:cs="Times New Roman"/>
          <w:i/>
          <w:sz w:val="24"/>
          <w:szCs w:val="24"/>
          <w:lang w:val="en-US"/>
        </w:rPr>
        <w:t>parties could use public funds.</w:t>
      </w:r>
      <w:r w:rsidR="0017032B" w:rsidRPr="00174674">
        <w:rPr>
          <w:rFonts w:ascii="Times New Roman" w:hAnsi="Times New Roman" w:cs="Times New Roman"/>
          <w:sz w:val="24"/>
          <w:szCs w:val="24"/>
          <w:lang w:val="en-US"/>
        </w:rPr>
        <w:t xml:space="preserve"> </w:t>
      </w:r>
      <w:r w:rsidR="00C909D1" w:rsidRPr="00174674">
        <w:rPr>
          <w:rFonts w:ascii="Times New Roman" w:hAnsi="Times New Roman" w:cs="Times New Roman"/>
          <w:sz w:val="24"/>
          <w:szCs w:val="24"/>
          <w:lang w:val="en-US"/>
        </w:rPr>
        <w:t>To do so, the parliament sh</w:t>
      </w:r>
      <w:r w:rsidR="0017032B" w:rsidRPr="00174674">
        <w:rPr>
          <w:rFonts w:ascii="Times New Roman" w:hAnsi="Times New Roman" w:cs="Times New Roman"/>
          <w:sz w:val="24"/>
          <w:szCs w:val="24"/>
          <w:lang w:val="en-US"/>
        </w:rPr>
        <w:t>ould explicitly define the scope of statutory activities and clearly differentiate them from electoral-related expenses.</w:t>
      </w:r>
    </w:p>
    <w:p w:rsidR="0017032B" w:rsidRPr="00174674" w:rsidRDefault="000A5275"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6</w:t>
      </w:r>
      <w:r w:rsidR="0017032B" w:rsidRPr="00174674">
        <w:rPr>
          <w:rFonts w:ascii="Times New Roman" w:hAnsi="Times New Roman" w:cs="Times New Roman"/>
          <w:sz w:val="24"/>
          <w:szCs w:val="24"/>
          <w:lang w:val="en-US"/>
        </w:rPr>
        <w:t xml:space="preserve">) </w:t>
      </w:r>
      <w:r w:rsidR="0017032B" w:rsidRPr="00174674">
        <w:rPr>
          <w:rFonts w:ascii="Times New Roman" w:hAnsi="Times New Roman" w:cs="Times New Roman"/>
          <w:i/>
          <w:sz w:val="24"/>
          <w:szCs w:val="24"/>
          <w:lang w:val="en-US"/>
        </w:rPr>
        <w:t>To r</w:t>
      </w:r>
      <w:r w:rsidR="00C84C16" w:rsidRPr="00174674">
        <w:rPr>
          <w:rFonts w:ascii="Times New Roman" w:hAnsi="Times New Roman" w:cs="Times New Roman"/>
          <w:i/>
          <w:sz w:val="24"/>
          <w:szCs w:val="24"/>
          <w:lang w:val="en-US"/>
        </w:rPr>
        <w:t xml:space="preserve">elax regulation on </w:t>
      </w:r>
      <w:r w:rsidR="0017032B" w:rsidRPr="00174674">
        <w:rPr>
          <w:rFonts w:ascii="Times New Roman" w:hAnsi="Times New Roman" w:cs="Times New Roman"/>
          <w:i/>
          <w:sz w:val="24"/>
          <w:szCs w:val="24"/>
          <w:lang w:val="en-US"/>
        </w:rPr>
        <w:t>external audit</w:t>
      </w:r>
      <w:r w:rsidR="00C84C16" w:rsidRPr="00174674">
        <w:rPr>
          <w:rFonts w:ascii="Times New Roman" w:hAnsi="Times New Roman" w:cs="Times New Roman"/>
          <w:i/>
          <w:sz w:val="24"/>
          <w:szCs w:val="24"/>
          <w:lang w:val="en-US"/>
        </w:rPr>
        <w:t xml:space="preserve"> of party reports</w:t>
      </w:r>
      <w:r w:rsidR="0017032B" w:rsidRPr="00174674">
        <w:rPr>
          <w:rFonts w:ascii="Times New Roman" w:hAnsi="Times New Roman" w:cs="Times New Roman"/>
          <w:i/>
          <w:sz w:val="24"/>
          <w:szCs w:val="24"/>
          <w:lang w:val="en-US"/>
        </w:rPr>
        <w:t>.</w:t>
      </w:r>
      <w:r w:rsidR="0017032B" w:rsidRPr="00174674">
        <w:rPr>
          <w:rFonts w:ascii="Times New Roman" w:hAnsi="Times New Roman" w:cs="Times New Roman"/>
          <w:sz w:val="24"/>
          <w:szCs w:val="24"/>
          <w:lang w:val="en-US"/>
        </w:rPr>
        <w:t xml:space="preserve"> </w:t>
      </w:r>
      <w:proofErr w:type="spellStart"/>
      <w:r w:rsidR="0017032B" w:rsidRPr="00174674">
        <w:rPr>
          <w:rFonts w:ascii="Times New Roman" w:hAnsi="Times New Roman" w:cs="Times New Roman"/>
          <w:sz w:val="24"/>
          <w:szCs w:val="24"/>
          <w:lang w:val="en-US"/>
        </w:rPr>
        <w:t>Verkhovna</w:t>
      </w:r>
      <w:proofErr w:type="spellEnd"/>
      <w:r w:rsidR="0017032B" w:rsidRPr="00174674">
        <w:rPr>
          <w:rFonts w:ascii="Times New Roman" w:hAnsi="Times New Roman" w:cs="Times New Roman"/>
          <w:sz w:val="24"/>
          <w:szCs w:val="24"/>
          <w:lang w:val="en-US"/>
        </w:rPr>
        <w:t xml:space="preserve"> </w:t>
      </w:r>
      <w:proofErr w:type="spellStart"/>
      <w:r w:rsidR="0017032B" w:rsidRPr="00174674">
        <w:rPr>
          <w:rFonts w:ascii="Times New Roman" w:hAnsi="Times New Roman" w:cs="Times New Roman"/>
          <w:sz w:val="24"/>
          <w:szCs w:val="24"/>
          <w:lang w:val="en-US"/>
        </w:rPr>
        <w:t>Rada</w:t>
      </w:r>
      <w:proofErr w:type="spellEnd"/>
      <w:r w:rsidR="0017032B" w:rsidRPr="00174674">
        <w:rPr>
          <w:rFonts w:ascii="Times New Roman" w:hAnsi="Times New Roman" w:cs="Times New Roman"/>
          <w:sz w:val="24"/>
          <w:szCs w:val="24"/>
          <w:lang w:val="en-US"/>
        </w:rPr>
        <w:t xml:space="preserve"> could extend the deadlines for submission of external audit results to the NAPC and allow parties that have not participated in parliamentary a</w:t>
      </w:r>
      <w:r w:rsidR="008052DF" w:rsidRPr="00174674">
        <w:rPr>
          <w:rFonts w:ascii="Times New Roman" w:hAnsi="Times New Roman" w:cs="Times New Roman"/>
          <w:sz w:val="24"/>
          <w:szCs w:val="24"/>
          <w:lang w:val="en-US"/>
        </w:rPr>
        <w:t>nd presidential elections and have</w:t>
      </w:r>
      <w:r w:rsidR="0017032B" w:rsidRPr="00174674">
        <w:rPr>
          <w:rFonts w:ascii="Times New Roman" w:hAnsi="Times New Roman" w:cs="Times New Roman"/>
          <w:sz w:val="24"/>
          <w:szCs w:val="24"/>
          <w:lang w:val="en-US"/>
        </w:rPr>
        <w:t xml:space="preserve"> not receive</w:t>
      </w:r>
      <w:r w:rsidR="008052DF" w:rsidRPr="00174674">
        <w:rPr>
          <w:rFonts w:ascii="Times New Roman" w:hAnsi="Times New Roman" w:cs="Times New Roman"/>
          <w:sz w:val="24"/>
          <w:szCs w:val="24"/>
          <w:lang w:val="en-US"/>
        </w:rPr>
        <w:t>d</w:t>
      </w:r>
      <w:r w:rsidR="0017032B" w:rsidRPr="00174674">
        <w:rPr>
          <w:rFonts w:ascii="Times New Roman" w:hAnsi="Times New Roman" w:cs="Times New Roman"/>
          <w:sz w:val="24"/>
          <w:szCs w:val="24"/>
          <w:lang w:val="en-US"/>
        </w:rPr>
        <w:t xml:space="preserve"> budget subsidies not</w:t>
      </w:r>
      <w:r w:rsidR="008052DF" w:rsidRPr="00174674">
        <w:rPr>
          <w:rFonts w:ascii="Times New Roman" w:hAnsi="Times New Roman" w:cs="Times New Roman"/>
          <w:sz w:val="24"/>
          <w:szCs w:val="24"/>
          <w:lang w:val="en-US"/>
        </w:rPr>
        <w:t xml:space="preserve"> to</w:t>
      </w:r>
      <w:r w:rsidR="0017032B" w:rsidRPr="00174674">
        <w:rPr>
          <w:rFonts w:ascii="Times New Roman" w:hAnsi="Times New Roman" w:cs="Times New Roman"/>
          <w:sz w:val="24"/>
          <w:szCs w:val="24"/>
          <w:lang w:val="en-US"/>
        </w:rPr>
        <w:t xml:space="preserve"> undergo external audit.</w:t>
      </w:r>
    </w:p>
    <w:p w:rsidR="0017032B" w:rsidRPr="00174674" w:rsidRDefault="000A5275"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7</w:t>
      </w:r>
      <w:r w:rsidR="0017032B" w:rsidRPr="00174674">
        <w:rPr>
          <w:rFonts w:ascii="Times New Roman" w:hAnsi="Times New Roman" w:cs="Times New Roman"/>
          <w:sz w:val="24"/>
          <w:szCs w:val="24"/>
          <w:lang w:val="en-US"/>
        </w:rPr>
        <w:t xml:space="preserve">) </w:t>
      </w:r>
      <w:r w:rsidR="0017032B" w:rsidRPr="00174674">
        <w:rPr>
          <w:rFonts w:ascii="Times New Roman" w:hAnsi="Times New Roman" w:cs="Times New Roman"/>
          <w:i/>
          <w:sz w:val="24"/>
          <w:szCs w:val="24"/>
          <w:lang w:val="en-US"/>
        </w:rPr>
        <w:t xml:space="preserve">To tighten sanctions and make them internally coherent. </w:t>
      </w:r>
      <w:r w:rsidR="0017032B" w:rsidRPr="00174674">
        <w:rPr>
          <w:rFonts w:ascii="Times New Roman" w:hAnsi="Times New Roman" w:cs="Times New Roman"/>
          <w:sz w:val="24"/>
          <w:szCs w:val="24"/>
          <w:lang w:val="en-US"/>
        </w:rPr>
        <w:t xml:space="preserve">Administrative fines for non-submission of reports could be significantly increased and </w:t>
      </w:r>
      <w:r w:rsidR="00220FC1" w:rsidRPr="00174674">
        <w:rPr>
          <w:rFonts w:ascii="Times New Roman" w:hAnsi="Times New Roman" w:cs="Times New Roman"/>
          <w:sz w:val="24"/>
          <w:szCs w:val="24"/>
          <w:lang w:val="en-US"/>
        </w:rPr>
        <w:t>made stronger than</w:t>
      </w:r>
      <w:r w:rsidR="0017032B" w:rsidRPr="00174674">
        <w:rPr>
          <w:rFonts w:ascii="Times New Roman" w:hAnsi="Times New Roman" w:cs="Times New Roman"/>
          <w:sz w:val="24"/>
          <w:szCs w:val="24"/>
          <w:lang w:val="en-US"/>
        </w:rPr>
        <w:t xml:space="preserve"> those for presenting incomplete information in reports. </w:t>
      </w:r>
      <w:r w:rsidR="00677634" w:rsidRPr="00174674">
        <w:rPr>
          <w:rFonts w:ascii="Times New Roman" w:hAnsi="Times New Roman" w:cs="Times New Roman"/>
          <w:sz w:val="24"/>
          <w:szCs w:val="24"/>
          <w:lang w:val="en-US"/>
        </w:rPr>
        <w:t>Possibility to impose d</w:t>
      </w:r>
      <w:r w:rsidR="0017032B" w:rsidRPr="00174674">
        <w:rPr>
          <w:rFonts w:ascii="Times New Roman" w:hAnsi="Times New Roman" w:cs="Times New Roman"/>
          <w:sz w:val="24"/>
          <w:szCs w:val="24"/>
          <w:lang w:val="en-US"/>
        </w:rPr>
        <w:t>ifferent types of sanctions for similar violation</w:t>
      </w:r>
      <w:r w:rsidR="00677634" w:rsidRPr="00174674">
        <w:rPr>
          <w:rFonts w:ascii="Times New Roman" w:hAnsi="Times New Roman" w:cs="Times New Roman"/>
          <w:sz w:val="24"/>
          <w:szCs w:val="24"/>
          <w:lang w:val="en-US"/>
        </w:rPr>
        <w:t>s</w:t>
      </w:r>
      <w:r w:rsidR="0017032B" w:rsidRPr="00174674">
        <w:rPr>
          <w:rFonts w:ascii="Times New Roman" w:hAnsi="Times New Roman" w:cs="Times New Roman"/>
          <w:sz w:val="24"/>
          <w:szCs w:val="24"/>
          <w:lang w:val="en-US"/>
        </w:rPr>
        <w:t xml:space="preserve"> </w:t>
      </w:r>
      <w:r w:rsidR="00677634" w:rsidRPr="00174674">
        <w:rPr>
          <w:rFonts w:ascii="Times New Roman" w:hAnsi="Times New Roman" w:cs="Times New Roman"/>
          <w:sz w:val="24"/>
          <w:szCs w:val="24"/>
          <w:lang w:val="en-US"/>
        </w:rPr>
        <w:t xml:space="preserve">is better </w:t>
      </w:r>
      <w:proofErr w:type="gramStart"/>
      <w:r w:rsidR="00677634" w:rsidRPr="00174674">
        <w:rPr>
          <w:rFonts w:ascii="Times New Roman" w:hAnsi="Times New Roman" w:cs="Times New Roman"/>
          <w:sz w:val="24"/>
          <w:szCs w:val="24"/>
          <w:lang w:val="en-US"/>
        </w:rPr>
        <w:t>be</w:t>
      </w:r>
      <w:proofErr w:type="gramEnd"/>
      <w:r w:rsidR="0017032B" w:rsidRPr="00174674">
        <w:rPr>
          <w:rFonts w:ascii="Times New Roman" w:hAnsi="Times New Roman" w:cs="Times New Roman"/>
          <w:sz w:val="24"/>
          <w:szCs w:val="24"/>
          <w:lang w:val="en-US"/>
        </w:rPr>
        <w:t xml:space="preserve"> </w:t>
      </w:r>
      <w:r w:rsidR="00677634" w:rsidRPr="00174674">
        <w:rPr>
          <w:rFonts w:ascii="Times New Roman" w:hAnsi="Times New Roman" w:cs="Times New Roman"/>
          <w:sz w:val="24"/>
          <w:szCs w:val="24"/>
          <w:lang w:val="en-US"/>
        </w:rPr>
        <w:t>abolished.</w:t>
      </w:r>
    </w:p>
    <w:p w:rsidR="00745924" w:rsidRPr="00174674" w:rsidRDefault="00745924"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8) </w:t>
      </w:r>
      <w:r w:rsidRPr="00174674">
        <w:rPr>
          <w:rFonts w:ascii="Times New Roman" w:hAnsi="Times New Roman" w:cs="Times New Roman"/>
          <w:i/>
          <w:sz w:val="24"/>
          <w:szCs w:val="24"/>
          <w:lang w:val="en-US"/>
        </w:rPr>
        <w:t xml:space="preserve">To provide </w:t>
      </w:r>
      <w:r w:rsidR="00A26B21" w:rsidRPr="00174674">
        <w:rPr>
          <w:rFonts w:ascii="Times New Roman" w:hAnsi="Times New Roman" w:cs="Times New Roman"/>
          <w:i/>
          <w:sz w:val="24"/>
          <w:szCs w:val="24"/>
          <w:lang w:val="en-US"/>
        </w:rPr>
        <w:t xml:space="preserve">the </w:t>
      </w:r>
      <w:r w:rsidRPr="00174674">
        <w:rPr>
          <w:rFonts w:ascii="Times New Roman" w:hAnsi="Times New Roman" w:cs="Times New Roman"/>
          <w:i/>
          <w:sz w:val="24"/>
          <w:szCs w:val="24"/>
          <w:lang w:val="en-US"/>
        </w:rPr>
        <w:t>NAPC with access to necessary state registers and databases</w:t>
      </w:r>
      <w:r w:rsidRPr="00174674">
        <w:rPr>
          <w:rFonts w:ascii="Times New Roman" w:hAnsi="Times New Roman" w:cs="Times New Roman"/>
          <w:sz w:val="24"/>
          <w:szCs w:val="24"/>
          <w:lang w:val="en-US"/>
        </w:rPr>
        <w:t xml:space="preserve">. The </w:t>
      </w:r>
      <w:r w:rsidR="00155F71" w:rsidRPr="00174674">
        <w:rPr>
          <w:rFonts w:ascii="Times New Roman" w:hAnsi="Times New Roman" w:cs="Times New Roman"/>
          <w:sz w:val="24"/>
          <w:szCs w:val="24"/>
          <w:lang w:val="en-US"/>
        </w:rPr>
        <w:t>p</w:t>
      </w:r>
      <w:r w:rsidRPr="00174674">
        <w:rPr>
          <w:rFonts w:ascii="Times New Roman" w:hAnsi="Times New Roman" w:cs="Times New Roman"/>
          <w:sz w:val="24"/>
          <w:szCs w:val="24"/>
          <w:lang w:val="en-US"/>
        </w:rPr>
        <w:t xml:space="preserve">arliament could assist </w:t>
      </w:r>
      <w:r w:rsidR="00A26B21"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NAPC by granting it possibility to directly access registers owned by other government bodies and bank accounts</w:t>
      </w:r>
      <w:r w:rsidR="00A26B21" w:rsidRPr="00174674">
        <w:rPr>
          <w:rFonts w:ascii="Times New Roman" w:hAnsi="Times New Roman" w:cs="Times New Roman"/>
          <w:sz w:val="24"/>
          <w:szCs w:val="24"/>
          <w:lang w:val="en-US"/>
        </w:rPr>
        <w:t xml:space="preserve"> of parties and candidate</w:t>
      </w:r>
      <w:r w:rsidR="00CB62F6" w:rsidRPr="00174674">
        <w:rPr>
          <w:rFonts w:ascii="Times New Roman" w:hAnsi="Times New Roman" w:cs="Times New Roman"/>
          <w:sz w:val="24"/>
          <w:szCs w:val="24"/>
          <w:lang w:val="en-US"/>
        </w:rPr>
        <w:t>s</w:t>
      </w:r>
      <w:r w:rsidRPr="00174674">
        <w:rPr>
          <w:rFonts w:ascii="Times New Roman" w:hAnsi="Times New Roman" w:cs="Times New Roman"/>
          <w:sz w:val="24"/>
          <w:szCs w:val="24"/>
          <w:lang w:val="en-US"/>
        </w:rPr>
        <w:t>.</w:t>
      </w:r>
    </w:p>
    <w:p w:rsidR="00677634" w:rsidRPr="00174674" w:rsidRDefault="00677634"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b/>
          <w:i/>
          <w:sz w:val="24"/>
          <w:szCs w:val="24"/>
          <w:lang w:val="en-US"/>
        </w:rPr>
        <w:t>2. For the NAPC</w:t>
      </w:r>
      <w:r w:rsidR="00B5290A" w:rsidRPr="00174674">
        <w:rPr>
          <w:rFonts w:ascii="Times New Roman" w:hAnsi="Times New Roman" w:cs="Times New Roman"/>
          <w:b/>
          <w:i/>
          <w:sz w:val="24"/>
          <w:szCs w:val="24"/>
          <w:lang w:val="en-US"/>
        </w:rPr>
        <w:t xml:space="preserve"> department o</w:t>
      </w:r>
      <w:r w:rsidR="00821D04" w:rsidRPr="00174674">
        <w:rPr>
          <w:rFonts w:ascii="Times New Roman" w:hAnsi="Times New Roman" w:cs="Times New Roman"/>
          <w:b/>
          <w:i/>
          <w:sz w:val="24"/>
          <w:szCs w:val="24"/>
          <w:lang w:val="en-US"/>
        </w:rPr>
        <w:t xml:space="preserve"> prevention of corruption</w:t>
      </w:r>
      <w:r w:rsidRPr="00174674">
        <w:rPr>
          <w:rFonts w:ascii="Times New Roman" w:hAnsi="Times New Roman" w:cs="Times New Roman"/>
          <w:b/>
          <w:i/>
          <w:sz w:val="24"/>
          <w:szCs w:val="24"/>
          <w:lang w:val="en-US"/>
        </w:rPr>
        <w:t>.</w:t>
      </w:r>
    </w:p>
    <w:p w:rsidR="00677634" w:rsidRPr="00174674" w:rsidRDefault="00677634"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1) </w:t>
      </w:r>
      <w:r w:rsidRPr="00174674">
        <w:rPr>
          <w:rFonts w:ascii="Times New Roman" w:hAnsi="Times New Roman" w:cs="Times New Roman"/>
          <w:i/>
          <w:sz w:val="24"/>
          <w:szCs w:val="24"/>
          <w:lang w:val="en-US"/>
        </w:rPr>
        <w:t>To simplify and consolidate reporting form.</w:t>
      </w:r>
      <w:r w:rsidRPr="00174674">
        <w:rPr>
          <w:rFonts w:ascii="Times New Roman" w:hAnsi="Times New Roman" w:cs="Times New Roman"/>
          <w:sz w:val="24"/>
          <w:szCs w:val="24"/>
          <w:lang w:val="en-US"/>
        </w:rPr>
        <w:t xml:space="preserve"> </w:t>
      </w:r>
      <w:r w:rsidR="00CB62F6"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 xml:space="preserve">NAPC is advised to clear the reporting template from all unnecessary information and introduce clear classification of donations and expenses. </w:t>
      </w:r>
      <w:r w:rsidR="00CB62F6"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NAPC could also consider integrating reports of all party branches into single document.</w:t>
      </w:r>
    </w:p>
    <w:p w:rsidR="00677634" w:rsidRPr="00174674" w:rsidRDefault="00677634"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2) </w:t>
      </w:r>
      <w:r w:rsidR="002477E5" w:rsidRPr="00174674">
        <w:rPr>
          <w:rFonts w:ascii="Times New Roman" w:hAnsi="Times New Roman" w:cs="Times New Roman"/>
          <w:i/>
          <w:sz w:val="24"/>
          <w:szCs w:val="24"/>
          <w:lang w:val="en-US"/>
        </w:rPr>
        <w:t xml:space="preserve">To extend representation of the working group on </w:t>
      </w:r>
      <w:r w:rsidR="006B0582" w:rsidRPr="00174674">
        <w:rPr>
          <w:rFonts w:ascii="Times New Roman" w:hAnsi="Times New Roman" w:cs="Times New Roman"/>
          <w:i/>
          <w:sz w:val="24"/>
          <w:szCs w:val="24"/>
          <w:lang w:val="en-US"/>
        </w:rPr>
        <w:t xml:space="preserve">development of </w:t>
      </w:r>
      <w:r w:rsidR="00CB62F6" w:rsidRPr="00174674">
        <w:rPr>
          <w:rFonts w:ascii="Times New Roman" w:hAnsi="Times New Roman" w:cs="Times New Roman"/>
          <w:i/>
          <w:sz w:val="24"/>
          <w:szCs w:val="24"/>
          <w:lang w:val="en-US"/>
        </w:rPr>
        <w:t>electronic reporting platform.</w:t>
      </w:r>
      <w:r w:rsidR="00CB62F6" w:rsidRPr="00174674">
        <w:rPr>
          <w:rFonts w:ascii="Times New Roman" w:hAnsi="Times New Roman" w:cs="Times New Roman"/>
          <w:sz w:val="24"/>
          <w:szCs w:val="24"/>
          <w:lang w:val="en-US"/>
        </w:rPr>
        <w:t xml:space="preserve"> The </w:t>
      </w:r>
      <w:r w:rsidR="002477E5" w:rsidRPr="00174674">
        <w:rPr>
          <w:rFonts w:ascii="Times New Roman" w:hAnsi="Times New Roman" w:cs="Times New Roman"/>
          <w:sz w:val="24"/>
          <w:szCs w:val="24"/>
          <w:lang w:val="en-US"/>
        </w:rPr>
        <w:t>NAPC could make the working group more inclusive and ensure higher quality of its product by engaging party and NGO representatives in its activities.</w:t>
      </w:r>
    </w:p>
    <w:p w:rsidR="00821D04" w:rsidRPr="00174674" w:rsidRDefault="00821D04"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3) </w:t>
      </w:r>
      <w:r w:rsidRPr="00174674">
        <w:rPr>
          <w:rFonts w:ascii="Times New Roman" w:hAnsi="Times New Roman" w:cs="Times New Roman"/>
          <w:i/>
          <w:sz w:val="24"/>
          <w:szCs w:val="24"/>
          <w:lang w:val="en-US"/>
        </w:rPr>
        <w:t>To provide clear guidance for parties on disclosing in-kind donations.</w:t>
      </w:r>
      <w:r w:rsidRPr="00174674">
        <w:rPr>
          <w:rFonts w:ascii="Times New Roman" w:hAnsi="Times New Roman" w:cs="Times New Roman"/>
          <w:sz w:val="24"/>
          <w:szCs w:val="24"/>
          <w:lang w:val="en-US"/>
        </w:rPr>
        <w:t xml:space="preserve"> NAPC should harmonize its different definitions of in-kind donations and clearly explain to parties how to reflect them in their reports.</w:t>
      </w:r>
    </w:p>
    <w:p w:rsidR="00821D04" w:rsidRPr="00174674" w:rsidRDefault="00821D04" w:rsidP="00C03A08">
      <w:pPr>
        <w:spacing w:after="120" w:line="240" w:lineRule="auto"/>
        <w:ind w:firstLine="426"/>
        <w:jc w:val="both"/>
        <w:rPr>
          <w:rFonts w:ascii="Times New Roman" w:hAnsi="Times New Roman" w:cs="Times New Roman"/>
          <w:sz w:val="24"/>
          <w:szCs w:val="24"/>
          <w:lang w:val="en-US"/>
        </w:rPr>
      </w:pPr>
      <w:r w:rsidRPr="00174674">
        <w:rPr>
          <w:rFonts w:ascii="Times New Roman" w:hAnsi="Times New Roman" w:cs="Times New Roman"/>
          <w:sz w:val="24"/>
          <w:szCs w:val="24"/>
          <w:lang w:val="en-US"/>
        </w:rPr>
        <w:t xml:space="preserve">4) </w:t>
      </w:r>
      <w:r w:rsidRPr="00174674">
        <w:rPr>
          <w:rFonts w:ascii="Times New Roman" w:hAnsi="Times New Roman" w:cs="Times New Roman"/>
          <w:i/>
          <w:sz w:val="24"/>
          <w:szCs w:val="24"/>
          <w:lang w:val="en-US"/>
        </w:rPr>
        <w:t>To improve communication with the public.</w:t>
      </w:r>
      <w:r w:rsidRPr="00174674">
        <w:rPr>
          <w:rFonts w:ascii="Times New Roman" w:hAnsi="Times New Roman" w:cs="Times New Roman"/>
          <w:sz w:val="24"/>
          <w:szCs w:val="24"/>
          <w:lang w:val="en-US"/>
        </w:rPr>
        <w:t xml:space="preserve"> </w:t>
      </w:r>
      <w:r w:rsidR="00CB62F6" w:rsidRPr="00174674">
        <w:rPr>
          <w:rFonts w:ascii="Times New Roman" w:hAnsi="Times New Roman" w:cs="Times New Roman"/>
          <w:sz w:val="24"/>
          <w:szCs w:val="24"/>
          <w:lang w:val="en-US"/>
        </w:rPr>
        <w:t xml:space="preserve">The </w:t>
      </w:r>
      <w:r w:rsidRPr="00174674">
        <w:rPr>
          <w:rFonts w:ascii="Times New Roman" w:hAnsi="Times New Roman" w:cs="Times New Roman"/>
          <w:sz w:val="24"/>
          <w:szCs w:val="24"/>
          <w:lang w:val="en-US"/>
        </w:rPr>
        <w:t xml:space="preserve">NAPC is </w:t>
      </w:r>
      <w:r w:rsidR="00CB62F6" w:rsidRPr="00174674">
        <w:rPr>
          <w:rFonts w:ascii="Times New Roman" w:hAnsi="Times New Roman" w:cs="Times New Roman"/>
          <w:sz w:val="24"/>
          <w:szCs w:val="24"/>
          <w:lang w:val="en-US"/>
        </w:rPr>
        <w:t>recommended</w:t>
      </w:r>
      <w:r w:rsidRPr="00174674">
        <w:rPr>
          <w:rFonts w:ascii="Times New Roman" w:hAnsi="Times New Roman" w:cs="Times New Roman"/>
          <w:sz w:val="24"/>
          <w:szCs w:val="24"/>
          <w:lang w:val="en-US"/>
        </w:rPr>
        <w:t xml:space="preserve"> to provide information on results of its analysis of party reports in more accessible </w:t>
      </w:r>
      <w:r w:rsidR="00B5290A" w:rsidRPr="00174674">
        <w:rPr>
          <w:rFonts w:ascii="Times New Roman" w:hAnsi="Times New Roman" w:cs="Times New Roman"/>
          <w:sz w:val="24"/>
          <w:szCs w:val="24"/>
          <w:lang w:val="en-US"/>
        </w:rPr>
        <w:t>manner</w:t>
      </w:r>
      <w:r w:rsidRPr="00174674">
        <w:rPr>
          <w:rFonts w:ascii="Times New Roman" w:hAnsi="Times New Roman" w:cs="Times New Roman"/>
          <w:sz w:val="24"/>
          <w:szCs w:val="24"/>
          <w:lang w:val="en-US"/>
        </w:rPr>
        <w:t xml:space="preserve"> and pay more attention to raising public awareness about the reform.</w:t>
      </w:r>
    </w:p>
    <w:p w:rsidR="002477E5" w:rsidRPr="00174674" w:rsidRDefault="002477E5" w:rsidP="00C03A08">
      <w:pPr>
        <w:spacing w:after="120" w:line="240" w:lineRule="auto"/>
        <w:ind w:firstLine="426"/>
        <w:jc w:val="both"/>
        <w:rPr>
          <w:rFonts w:ascii="Times New Roman" w:hAnsi="Times New Roman" w:cs="Times New Roman"/>
          <w:sz w:val="24"/>
          <w:lang w:val="en-US"/>
        </w:rPr>
      </w:pPr>
    </w:p>
    <w:p w:rsidR="004F1C63" w:rsidRPr="00174674" w:rsidRDefault="004F1C63" w:rsidP="00C03A08">
      <w:pPr>
        <w:spacing w:after="120" w:line="240" w:lineRule="auto"/>
        <w:ind w:firstLine="426"/>
        <w:jc w:val="both"/>
        <w:rPr>
          <w:rFonts w:ascii="Times New Roman" w:hAnsi="Times New Roman" w:cs="Times New Roman"/>
          <w:sz w:val="24"/>
          <w:lang w:val="en-US"/>
        </w:rPr>
      </w:pPr>
    </w:p>
    <w:p w:rsidR="00A43788" w:rsidRPr="00743BE4" w:rsidRDefault="00A43788" w:rsidP="00743BE4">
      <w:pPr>
        <w:spacing w:after="120" w:line="240" w:lineRule="auto"/>
        <w:rPr>
          <w:rFonts w:ascii="Sylfaen" w:hAnsi="Sylfaen" w:cs="Times New Roman"/>
          <w:b/>
          <w:sz w:val="18"/>
          <w:szCs w:val="18"/>
          <w:lang w:val="ka-GE"/>
        </w:rPr>
      </w:pPr>
    </w:p>
    <w:p w:rsidR="00A43788" w:rsidRDefault="00A43788" w:rsidP="00237968">
      <w:pPr>
        <w:spacing w:after="120" w:line="240" w:lineRule="auto"/>
        <w:jc w:val="center"/>
        <w:rPr>
          <w:rFonts w:ascii="Times New Roman" w:hAnsi="Times New Roman" w:cs="Times New Roman"/>
          <w:b/>
          <w:sz w:val="18"/>
          <w:szCs w:val="18"/>
          <w:lang w:val="en-US"/>
        </w:rPr>
      </w:pPr>
    </w:p>
    <w:p w:rsidR="00A43788" w:rsidRDefault="00A43788" w:rsidP="00237968">
      <w:pPr>
        <w:spacing w:after="120" w:line="240" w:lineRule="auto"/>
        <w:jc w:val="center"/>
        <w:rPr>
          <w:rFonts w:ascii="Times New Roman" w:hAnsi="Times New Roman" w:cs="Times New Roman"/>
          <w:b/>
          <w:sz w:val="18"/>
          <w:szCs w:val="18"/>
          <w:lang w:val="en-US"/>
        </w:rPr>
      </w:pPr>
    </w:p>
    <w:p w:rsidR="00A43788" w:rsidRDefault="00A43788" w:rsidP="00237968">
      <w:pPr>
        <w:spacing w:after="120" w:line="240" w:lineRule="auto"/>
        <w:jc w:val="center"/>
        <w:rPr>
          <w:rFonts w:ascii="Times New Roman" w:hAnsi="Times New Roman" w:cs="Times New Roman"/>
          <w:b/>
          <w:sz w:val="18"/>
          <w:szCs w:val="18"/>
          <w:lang w:val="en-US"/>
        </w:rPr>
      </w:pPr>
    </w:p>
    <w:p w:rsidR="00A43788" w:rsidRDefault="00A43788" w:rsidP="00237968">
      <w:pPr>
        <w:spacing w:after="120" w:line="240" w:lineRule="auto"/>
        <w:jc w:val="center"/>
        <w:rPr>
          <w:rFonts w:ascii="Times New Roman" w:hAnsi="Times New Roman" w:cs="Times New Roman"/>
          <w:b/>
          <w:sz w:val="18"/>
          <w:szCs w:val="18"/>
          <w:lang w:val="en-US"/>
        </w:rPr>
      </w:pPr>
    </w:p>
    <w:p w:rsidR="00A43788" w:rsidRDefault="00A43788" w:rsidP="00237968">
      <w:pPr>
        <w:spacing w:after="120" w:line="240" w:lineRule="auto"/>
        <w:jc w:val="center"/>
        <w:rPr>
          <w:rFonts w:ascii="Times New Roman" w:hAnsi="Times New Roman" w:cs="Times New Roman"/>
          <w:b/>
          <w:sz w:val="18"/>
          <w:szCs w:val="18"/>
          <w:lang w:val="en-US"/>
        </w:rPr>
      </w:pPr>
    </w:p>
    <w:p w:rsidR="00237968" w:rsidRPr="00237968" w:rsidRDefault="00237968" w:rsidP="00237968">
      <w:pPr>
        <w:spacing w:after="120" w:line="240" w:lineRule="auto"/>
        <w:jc w:val="center"/>
        <w:rPr>
          <w:rFonts w:ascii="Times New Roman" w:hAnsi="Times New Roman" w:cs="Times New Roman"/>
          <w:b/>
          <w:sz w:val="18"/>
          <w:szCs w:val="18"/>
          <w:lang w:val="en-US"/>
        </w:rPr>
      </w:pPr>
      <w:r w:rsidRPr="00237968">
        <w:rPr>
          <w:rFonts w:ascii="Times New Roman" w:hAnsi="Times New Roman" w:cs="Times New Roman"/>
          <w:b/>
          <w:sz w:val="18"/>
          <w:szCs w:val="18"/>
          <w:lang w:val="en-US"/>
        </w:rPr>
        <w:t>REFERENCES</w:t>
      </w:r>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Committee of Voters of Ukraine (2017).</w:t>
      </w:r>
      <w:proofErr w:type="gramEnd"/>
      <w:r w:rsidRPr="00237968">
        <w:rPr>
          <w:rFonts w:ascii="Times New Roman" w:hAnsi="Times New Roman" w:cs="Times New Roman"/>
          <w:sz w:val="18"/>
          <w:szCs w:val="18"/>
          <w:lang w:val="en-US"/>
        </w:rPr>
        <w:t xml:space="preserve"> </w:t>
      </w:r>
      <w:proofErr w:type="spellStart"/>
      <w:proofErr w:type="gramStart"/>
      <w:r w:rsidRPr="00237968">
        <w:rPr>
          <w:rFonts w:ascii="Times New Roman" w:hAnsi="Times New Roman" w:cs="Times New Roman"/>
          <w:i/>
          <w:sz w:val="18"/>
          <w:szCs w:val="18"/>
          <w:lang w:val="en-US"/>
        </w:rPr>
        <w:t>Osnovni</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vysnovky</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za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rezultatamy</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analizu</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finansovykh</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zvitiv</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politychnykh</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partii</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shchodo</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vykorystannia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koshtiv</w:t>
      </w:r>
      <w:proofErr w:type="spellEnd"/>
      <w:r w:rsidRPr="00237968">
        <w:rPr>
          <w:rFonts w:ascii="Times New Roman" w:hAnsi="Times New Roman" w:cs="Times New Roman"/>
          <w:i/>
          <w:sz w:val="18"/>
          <w:szCs w:val="18"/>
          <w:lang w:val="en-US"/>
        </w:rPr>
        <w:t xml:space="preserve"> z </w:t>
      </w:r>
      <w:proofErr w:type="spellStart"/>
      <w:r w:rsidRPr="00237968">
        <w:rPr>
          <w:rFonts w:ascii="Times New Roman" w:hAnsi="Times New Roman" w:cs="Times New Roman"/>
          <w:i/>
          <w:sz w:val="18"/>
          <w:szCs w:val="18"/>
          <w:lang w:val="en-US"/>
        </w:rPr>
        <w:t>Derzhavnoho</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biudzhetu</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Ukraiiny</w:t>
      </w:r>
      <w:proofErr w:type="spellEnd"/>
      <w:r w:rsidRPr="00237968">
        <w:rPr>
          <w:rFonts w:ascii="Times New Roman" w:hAnsi="Times New Roman" w:cs="Times New Roman"/>
          <w:i/>
          <w:sz w:val="18"/>
          <w:szCs w:val="18"/>
          <w:lang w:val="en-US"/>
        </w:rPr>
        <w:t xml:space="preserve"> </w:t>
      </w:r>
      <w:r w:rsidRPr="00237968">
        <w:rPr>
          <w:rFonts w:ascii="Times New Roman" w:hAnsi="Times New Roman" w:cs="Times New Roman"/>
          <w:sz w:val="18"/>
          <w:szCs w:val="18"/>
          <w:lang w:val="en-US"/>
        </w:rPr>
        <w:t>[</w:t>
      </w:r>
      <w:r w:rsidRPr="00237968">
        <w:rPr>
          <w:rFonts w:ascii="Times New Roman" w:hAnsi="Times New Roman" w:cs="Times New Roman"/>
          <w:i/>
          <w:sz w:val="18"/>
          <w:szCs w:val="18"/>
          <w:lang w:val="en-US"/>
        </w:rPr>
        <w:t xml:space="preserve">Key conclusions from the results of the analysis of financial report of political parties regarding use of Ukraine’s state </w:t>
      </w:r>
      <w:proofErr w:type="spellStart"/>
      <w:r w:rsidRPr="00237968">
        <w:rPr>
          <w:rFonts w:ascii="Times New Roman" w:hAnsi="Times New Roman" w:cs="Times New Roman"/>
          <w:i/>
          <w:sz w:val="18"/>
          <w:szCs w:val="18"/>
          <w:lang w:val="en-US"/>
        </w:rPr>
        <w:t>dubget</w:t>
      </w:r>
      <w:proofErr w:type="spellEnd"/>
      <w:r w:rsidRPr="00237968">
        <w:rPr>
          <w:rFonts w:ascii="Times New Roman" w:hAnsi="Times New Roman" w:cs="Times New Roman"/>
          <w:i/>
          <w:sz w:val="18"/>
          <w:szCs w:val="18"/>
          <w:lang w:val="en-US"/>
        </w:rPr>
        <w:t xml:space="preserve"> funds</w:t>
      </w:r>
      <w:r w:rsidRPr="00237968">
        <w:rPr>
          <w:rFonts w:ascii="Times New Roman" w:hAnsi="Times New Roman" w:cs="Times New Roman"/>
          <w:sz w:val="18"/>
          <w:szCs w:val="18"/>
          <w:lang w:val="en-US"/>
        </w:rPr>
        <w:t>].</w:t>
      </w:r>
      <w:proofErr w:type="gramEnd"/>
      <w:r w:rsidRPr="00237968">
        <w:rPr>
          <w:rFonts w:ascii="Times New Roman" w:hAnsi="Times New Roman" w:cs="Times New Roman"/>
          <w:sz w:val="18"/>
          <w:szCs w:val="18"/>
          <w:lang w:val="en-US"/>
        </w:rPr>
        <w:t xml:space="preserve"> </w:t>
      </w:r>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spellStart"/>
      <w:r w:rsidRPr="00237968">
        <w:rPr>
          <w:rFonts w:ascii="Times New Roman" w:hAnsi="Times New Roman" w:cs="Times New Roman"/>
          <w:sz w:val="18"/>
          <w:szCs w:val="18"/>
          <w:lang w:val="de-DE"/>
        </w:rPr>
        <w:t>Feshchenko</w:t>
      </w:r>
      <w:proofErr w:type="spellEnd"/>
      <w:r w:rsidRPr="00237968">
        <w:rPr>
          <w:rFonts w:ascii="Times New Roman" w:hAnsi="Times New Roman" w:cs="Times New Roman"/>
          <w:sz w:val="18"/>
          <w:szCs w:val="18"/>
          <w:lang w:val="de-DE"/>
        </w:rPr>
        <w:t xml:space="preserve">, I., </w:t>
      </w:r>
      <w:proofErr w:type="spellStart"/>
      <w:r w:rsidRPr="00237968">
        <w:rPr>
          <w:rFonts w:ascii="Times New Roman" w:hAnsi="Times New Roman" w:cs="Times New Roman"/>
          <w:sz w:val="18"/>
          <w:szCs w:val="18"/>
          <w:lang w:val="de-DE"/>
        </w:rPr>
        <w:t>Dumanska</w:t>
      </w:r>
      <w:proofErr w:type="spellEnd"/>
      <w:r w:rsidRPr="00237968">
        <w:rPr>
          <w:rFonts w:ascii="Times New Roman" w:hAnsi="Times New Roman" w:cs="Times New Roman"/>
          <w:sz w:val="18"/>
          <w:szCs w:val="18"/>
          <w:lang w:val="de-DE"/>
        </w:rPr>
        <w:t xml:space="preserve">, V., &amp; </w:t>
      </w:r>
      <w:proofErr w:type="spellStart"/>
      <w:r w:rsidRPr="00237968">
        <w:rPr>
          <w:rFonts w:ascii="Times New Roman" w:hAnsi="Times New Roman" w:cs="Times New Roman"/>
          <w:sz w:val="18"/>
          <w:szCs w:val="18"/>
          <w:lang w:val="de-DE"/>
        </w:rPr>
        <w:t>Fedoriv</w:t>
      </w:r>
      <w:proofErr w:type="spellEnd"/>
      <w:r w:rsidRPr="00237968">
        <w:rPr>
          <w:rFonts w:ascii="Times New Roman" w:hAnsi="Times New Roman" w:cs="Times New Roman"/>
          <w:sz w:val="18"/>
          <w:szCs w:val="18"/>
          <w:lang w:val="de-DE"/>
        </w:rPr>
        <w:t xml:space="preserve">, I. (2017). </w:t>
      </w:r>
      <w:r w:rsidRPr="00237968">
        <w:rPr>
          <w:rFonts w:ascii="Times New Roman" w:hAnsi="Times New Roman" w:cs="Times New Roman"/>
          <w:sz w:val="18"/>
          <w:szCs w:val="18"/>
          <w:lang w:val="en-US"/>
        </w:rPr>
        <w:t>“</w:t>
      </w:r>
      <w:proofErr w:type="spellStart"/>
      <w:r w:rsidRPr="00237968">
        <w:rPr>
          <w:rFonts w:ascii="Times New Roman" w:hAnsi="Times New Roman" w:cs="Times New Roman"/>
          <w:i/>
          <w:sz w:val="18"/>
          <w:szCs w:val="18"/>
          <w:lang w:val="en-US"/>
        </w:rPr>
        <w:t>Batkivshchyna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Khto</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khovaiet’sia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za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sponsoramy</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zi</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stolychnykh</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okolyts</w:t>
      </w:r>
      <w:proofErr w:type="spellEnd"/>
      <w:r w:rsidRPr="00237968">
        <w:rPr>
          <w:rFonts w:ascii="Times New Roman" w:hAnsi="Times New Roman" w:cs="Times New Roman"/>
          <w:i/>
          <w:sz w:val="18"/>
          <w:szCs w:val="18"/>
          <w:lang w:val="en-US"/>
        </w:rPr>
        <w:t>’</w:t>
      </w:r>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i/>
          <w:sz w:val="18"/>
          <w:szCs w:val="18"/>
          <w:lang w:val="en-US"/>
        </w:rPr>
        <w:t>Batkivshchyna</w:t>
      </w:r>
      <w:proofErr w:type="spellEnd"/>
      <w:r w:rsidRPr="00237968">
        <w:rPr>
          <w:rFonts w:ascii="Times New Roman" w:hAnsi="Times New Roman" w:cs="Times New Roman"/>
          <w:i/>
          <w:sz w:val="18"/>
          <w:szCs w:val="18"/>
          <w:lang w:val="en-US"/>
        </w:rPr>
        <w:t>: Who’s hiding under the guise of sponsors from city outskirts</w:t>
      </w:r>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Hromadskyi</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Rukh</w:t>
      </w:r>
      <w:proofErr w:type="spellEnd"/>
      <w:r w:rsidRPr="00237968">
        <w:rPr>
          <w:rFonts w:ascii="Times New Roman" w:hAnsi="Times New Roman" w:cs="Times New Roman"/>
          <w:sz w:val="18"/>
          <w:szCs w:val="18"/>
          <w:lang w:val="en-US"/>
        </w:rPr>
        <w:t xml:space="preserve"> “CHENSO” [CHESNO Civil Movement]. </w:t>
      </w:r>
      <w:proofErr w:type="gramStart"/>
      <w:r w:rsidRPr="00237968">
        <w:rPr>
          <w:rFonts w:ascii="Times New Roman" w:hAnsi="Times New Roman" w:cs="Times New Roman"/>
          <w:sz w:val="18"/>
          <w:szCs w:val="18"/>
          <w:lang w:val="en-US"/>
        </w:rPr>
        <w:t xml:space="preserve">Retrieved from </w:t>
      </w:r>
      <w:hyperlink r:id="rId11" w:history="1">
        <w:r w:rsidRPr="00237968">
          <w:rPr>
            <w:rStyle w:val="Hyperlink"/>
            <w:rFonts w:ascii="Times New Roman" w:hAnsi="Times New Roman" w:cs="Times New Roman"/>
            <w:sz w:val="18"/>
            <w:szCs w:val="18"/>
            <w:lang w:val="en-US"/>
          </w:rPr>
          <w:t>http://www.pravda.com.ua/cdn/graphics/2017/03/batkivshhyna_hto_hovajetsja_za_sponsoramy_zi_stolychnyh_okolyc/</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GRECO (2011).</w:t>
      </w:r>
      <w:proofErr w:type="gramEnd"/>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i/>
          <w:sz w:val="18"/>
          <w:szCs w:val="18"/>
          <w:lang w:val="en-US"/>
        </w:rPr>
        <w:t>Evaluation Report on Ukraine Transparency of Party Funding.</w:t>
      </w:r>
      <w:proofErr w:type="gramEnd"/>
      <w:r w:rsidRPr="00237968">
        <w:rPr>
          <w:rFonts w:ascii="Times New Roman" w:hAnsi="Times New Roman" w:cs="Times New Roman"/>
          <w:i/>
          <w:sz w:val="18"/>
          <w:szCs w:val="18"/>
          <w:lang w:val="en-US"/>
        </w:rPr>
        <w:t xml:space="preserve"> </w:t>
      </w:r>
      <w:proofErr w:type="gramStart"/>
      <w:r w:rsidRPr="00237968">
        <w:rPr>
          <w:rFonts w:ascii="Times New Roman" w:hAnsi="Times New Roman" w:cs="Times New Roman"/>
          <w:i/>
          <w:sz w:val="18"/>
          <w:szCs w:val="18"/>
          <w:lang w:val="en-US"/>
        </w:rPr>
        <w:t>Third Evaluation Round</w:t>
      </w:r>
      <w:r w:rsidRPr="00237968">
        <w:rPr>
          <w:rFonts w:ascii="Times New Roman" w:hAnsi="Times New Roman" w:cs="Times New Roman"/>
          <w:sz w:val="18"/>
          <w:szCs w:val="18"/>
          <w:lang w:val="en-US"/>
        </w:rPr>
        <w:t>.</w:t>
      </w:r>
      <w:proofErr w:type="gramEnd"/>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12" w:history="1">
        <w:r w:rsidRPr="00237968">
          <w:rPr>
            <w:rStyle w:val="Hyperlink"/>
            <w:rFonts w:ascii="Times New Roman" w:hAnsi="Times New Roman" w:cs="Times New Roman"/>
            <w:sz w:val="18"/>
            <w:szCs w:val="18"/>
            <w:lang w:val="en-US"/>
          </w:rPr>
          <w:t>https://rm.coe.int/16806ca325</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GRECO (2015).</w:t>
      </w:r>
      <w:proofErr w:type="gramEnd"/>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i/>
          <w:sz w:val="18"/>
          <w:szCs w:val="18"/>
          <w:lang w:val="en-US"/>
        </w:rPr>
        <w:t>Second Compliance Report on Ukraine.</w:t>
      </w:r>
      <w:proofErr w:type="gramEnd"/>
      <w:r w:rsidRPr="00237968">
        <w:rPr>
          <w:rFonts w:ascii="Times New Roman" w:hAnsi="Times New Roman" w:cs="Times New Roman"/>
          <w:i/>
          <w:sz w:val="18"/>
          <w:szCs w:val="18"/>
          <w:lang w:val="en-US"/>
        </w:rPr>
        <w:t xml:space="preserve"> </w:t>
      </w:r>
      <w:proofErr w:type="gramStart"/>
      <w:r w:rsidRPr="00237968">
        <w:rPr>
          <w:rFonts w:ascii="Times New Roman" w:hAnsi="Times New Roman" w:cs="Times New Roman"/>
          <w:i/>
          <w:sz w:val="18"/>
          <w:szCs w:val="18"/>
          <w:lang w:val="en-US"/>
        </w:rPr>
        <w:t>Third Evaluation Round.</w:t>
      </w:r>
      <w:proofErr w:type="gramEnd"/>
      <w:r w:rsidRPr="00237968">
        <w:rPr>
          <w:rFonts w:ascii="Times New Roman" w:hAnsi="Times New Roman" w:cs="Times New Roman"/>
          <w:i/>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13" w:history="1">
        <w:r w:rsidRPr="00237968">
          <w:rPr>
            <w:rStyle w:val="Hyperlink"/>
            <w:rFonts w:ascii="Times New Roman" w:hAnsi="Times New Roman" w:cs="Times New Roman"/>
            <w:sz w:val="18"/>
            <w:szCs w:val="18"/>
            <w:lang w:val="en-US"/>
          </w:rPr>
          <w:t>https://rm.coe.int/16806ca329</w:t>
        </w:r>
      </w:hyperlink>
      <w:r w:rsidRPr="00237968">
        <w:rPr>
          <w:rFonts w:ascii="Times New Roman" w:hAnsi="Times New Roman" w:cs="Times New Roman"/>
          <w:sz w:val="18"/>
          <w:szCs w:val="18"/>
          <w:lang w:val="en-US"/>
        </w:rPr>
        <w:t>.</w:t>
      </w:r>
      <w:proofErr w:type="gramEnd"/>
      <w:r w:rsidRPr="00237968">
        <w:rPr>
          <w:rFonts w:ascii="Times New Roman" w:hAnsi="Times New Roman" w:cs="Times New Roman"/>
          <w:sz w:val="18"/>
          <w:szCs w:val="18"/>
          <w:lang w:val="en-US"/>
        </w:rPr>
        <w:t xml:space="preserve"> </w:t>
      </w:r>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spellStart"/>
      <w:r w:rsidRPr="00237968">
        <w:rPr>
          <w:rFonts w:ascii="Times New Roman" w:hAnsi="Times New Roman" w:cs="Times New Roman"/>
          <w:sz w:val="18"/>
          <w:szCs w:val="18"/>
          <w:lang w:val="en-US"/>
        </w:rPr>
        <w:t>Kovryzhenko</w:t>
      </w:r>
      <w:proofErr w:type="spellEnd"/>
      <w:r w:rsidRPr="00237968">
        <w:rPr>
          <w:rFonts w:ascii="Times New Roman" w:hAnsi="Times New Roman" w:cs="Times New Roman"/>
          <w:sz w:val="18"/>
          <w:szCs w:val="18"/>
          <w:lang w:val="en-US"/>
        </w:rPr>
        <w:t xml:space="preserve">, D. (2010). </w:t>
      </w:r>
      <w:r w:rsidRPr="00237968">
        <w:rPr>
          <w:rFonts w:ascii="Times New Roman" w:hAnsi="Times New Roman" w:cs="Times New Roman"/>
          <w:i/>
          <w:sz w:val="18"/>
          <w:szCs w:val="18"/>
          <w:lang w:val="en-US"/>
        </w:rPr>
        <w:t>Ukraine: Report on Legislation and Regulations on Political Parties Activities</w:t>
      </w:r>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Agency for Legislative Initiatives.</w:t>
      </w:r>
      <w:proofErr w:type="gramEnd"/>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14" w:history="1">
        <w:r w:rsidRPr="00237968">
          <w:rPr>
            <w:rStyle w:val="Hyperlink"/>
            <w:rFonts w:ascii="Times New Roman" w:hAnsi="Times New Roman" w:cs="Times New Roman"/>
            <w:sz w:val="18"/>
            <w:szCs w:val="18"/>
            <w:lang w:val="en-US"/>
          </w:rPr>
          <w:t>http://parlament.org.ua/upload/docs/Final%20Country%20Report%20Ukraine%20-%20eng.pdf</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spellStart"/>
      <w:r w:rsidRPr="00237968">
        <w:rPr>
          <w:rFonts w:ascii="Times New Roman" w:hAnsi="Times New Roman" w:cs="Times New Roman"/>
          <w:sz w:val="18"/>
          <w:szCs w:val="18"/>
          <w:lang w:val="de-DE"/>
        </w:rPr>
        <w:t>Kuchma</w:t>
      </w:r>
      <w:proofErr w:type="spellEnd"/>
      <w:r w:rsidRPr="00237968">
        <w:rPr>
          <w:rFonts w:ascii="Times New Roman" w:hAnsi="Times New Roman" w:cs="Times New Roman"/>
          <w:sz w:val="18"/>
          <w:szCs w:val="18"/>
          <w:lang w:val="de-DE"/>
        </w:rPr>
        <w:t xml:space="preserve">, O., Kelm, N., &amp; </w:t>
      </w:r>
      <w:proofErr w:type="spellStart"/>
      <w:r w:rsidRPr="00237968">
        <w:rPr>
          <w:rFonts w:ascii="Times New Roman" w:hAnsi="Times New Roman" w:cs="Times New Roman"/>
          <w:sz w:val="18"/>
          <w:szCs w:val="18"/>
          <w:lang w:val="de-DE"/>
        </w:rPr>
        <w:t>Feshchenko</w:t>
      </w:r>
      <w:proofErr w:type="spellEnd"/>
      <w:r w:rsidRPr="00237968">
        <w:rPr>
          <w:rFonts w:ascii="Times New Roman" w:hAnsi="Times New Roman" w:cs="Times New Roman"/>
          <w:sz w:val="18"/>
          <w:szCs w:val="18"/>
          <w:lang w:val="de-DE"/>
        </w:rPr>
        <w:t xml:space="preserve">, I. (2016). </w:t>
      </w:r>
      <w:proofErr w:type="spellStart"/>
      <w:r w:rsidRPr="00237968">
        <w:rPr>
          <w:rFonts w:ascii="Times New Roman" w:hAnsi="Times New Roman" w:cs="Times New Roman"/>
          <w:i/>
          <w:sz w:val="18"/>
          <w:szCs w:val="18"/>
          <w:lang w:val="en-US"/>
        </w:rPr>
        <w:t>Zoloto</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partii</w:t>
      </w:r>
      <w:proofErr w:type="spellEnd"/>
      <w:r w:rsidRPr="00237968">
        <w:rPr>
          <w:rFonts w:ascii="Times New Roman" w:hAnsi="Times New Roman" w:cs="Times New Roman"/>
          <w:i/>
          <w:sz w:val="18"/>
          <w:szCs w:val="18"/>
          <w:lang w:val="en-US"/>
        </w:rPr>
        <w:t>: “</w:t>
      </w:r>
      <w:proofErr w:type="spellStart"/>
      <w:r w:rsidRPr="00237968">
        <w:rPr>
          <w:rFonts w:ascii="Times New Roman" w:hAnsi="Times New Roman" w:cs="Times New Roman"/>
          <w:i/>
          <w:sz w:val="18"/>
          <w:szCs w:val="18"/>
          <w:lang w:val="en-US"/>
        </w:rPr>
        <w:t>Narodnyi</w:t>
      </w:r>
      <w:proofErr w:type="spellEnd"/>
      <w:r w:rsidRPr="00237968">
        <w:rPr>
          <w:rFonts w:ascii="Times New Roman" w:hAnsi="Times New Roman" w:cs="Times New Roman"/>
          <w:i/>
          <w:sz w:val="18"/>
          <w:szCs w:val="18"/>
          <w:lang w:val="en-US"/>
        </w:rPr>
        <w:t xml:space="preserve"> front” </w:t>
      </w:r>
      <w:proofErr w:type="spellStart"/>
      <w:r w:rsidRPr="00237968">
        <w:rPr>
          <w:rFonts w:ascii="Times New Roman" w:hAnsi="Times New Roman" w:cs="Times New Roman"/>
          <w:i/>
          <w:sz w:val="18"/>
          <w:szCs w:val="18"/>
          <w:lang w:val="en-US"/>
        </w:rPr>
        <w:t>prykhovav</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ponad</w:t>
      </w:r>
      <w:proofErr w:type="spellEnd"/>
      <w:r w:rsidRPr="00237968">
        <w:rPr>
          <w:rFonts w:ascii="Times New Roman" w:hAnsi="Times New Roman" w:cs="Times New Roman"/>
          <w:i/>
          <w:sz w:val="18"/>
          <w:szCs w:val="18"/>
          <w:lang w:val="en-US"/>
        </w:rPr>
        <w:t xml:space="preserve"> million </w:t>
      </w:r>
      <w:proofErr w:type="spellStart"/>
      <w:proofErr w:type="gramStart"/>
      <w:r w:rsidRPr="00237968">
        <w:rPr>
          <w:rFonts w:ascii="Times New Roman" w:hAnsi="Times New Roman" w:cs="Times New Roman"/>
          <w:i/>
          <w:sz w:val="18"/>
          <w:szCs w:val="18"/>
          <w:lang w:val="en-US"/>
        </w:rPr>
        <w:t>na</w:t>
      </w:r>
      <w:proofErr w:type="spellEnd"/>
      <w:proofErr w:type="gram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dzhynsu</w:t>
      </w:r>
      <w:proofErr w:type="spellEnd"/>
      <w:r w:rsidRPr="00237968">
        <w:rPr>
          <w:rFonts w:ascii="Times New Roman" w:hAnsi="Times New Roman" w:cs="Times New Roman"/>
          <w:i/>
          <w:sz w:val="18"/>
          <w:szCs w:val="18"/>
          <w:lang w:val="en-US"/>
        </w:rPr>
        <w:t xml:space="preserve"> </w:t>
      </w:r>
      <w:r w:rsidRPr="00237968">
        <w:rPr>
          <w:rFonts w:ascii="Times New Roman" w:hAnsi="Times New Roman" w:cs="Times New Roman"/>
          <w:sz w:val="18"/>
          <w:szCs w:val="18"/>
          <w:lang w:val="en-US"/>
        </w:rPr>
        <w:t>[</w:t>
      </w:r>
      <w:r w:rsidRPr="00237968">
        <w:rPr>
          <w:rFonts w:ascii="Times New Roman" w:hAnsi="Times New Roman" w:cs="Times New Roman"/>
          <w:i/>
          <w:sz w:val="18"/>
          <w:szCs w:val="18"/>
          <w:lang w:val="en-US"/>
        </w:rPr>
        <w:t xml:space="preserve">Party gold: Popular Front concealed over a million of </w:t>
      </w:r>
      <w:proofErr w:type="spellStart"/>
      <w:r w:rsidRPr="00237968">
        <w:rPr>
          <w:rFonts w:ascii="Times New Roman" w:hAnsi="Times New Roman" w:cs="Times New Roman"/>
          <w:i/>
          <w:sz w:val="18"/>
          <w:szCs w:val="18"/>
          <w:lang w:val="en-US"/>
        </w:rPr>
        <w:t>hryvnias</w:t>
      </w:r>
      <w:proofErr w:type="spellEnd"/>
      <w:r w:rsidRPr="00237968">
        <w:rPr>
          <w:rFonts w:ascii="Times New Roman" w:hAnsi="Times New Roman" w:cs="Times New Roman"/>
          <w:i/>
          <w:sz w:val="18"/>
          <w:szCs w:val="18"/>
          <w:lang w:val="en-US"/>
        </w:rPr>
        <w:t xml:space="preserve"> on hidden advertisement</w:t>
      </w:r>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Hromadskyi</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Rukh</w:t>
      </w:r>
      <w:proofErr w:type="spellEnd"/>
      <w:r w:rsidRPr="00237968">
        <w:rPr>
          <w:rFonts w:ascii="Times New Roman" w:hAnsi="Times New Roman" w:cs="Times New Roman"/>
          <w:sz w:val="18"/>
          <w:szCs w:val="18"/>
          <w:lang w:val="en-US"/>
        </w:rPr>
        <w:t xml:space="preserve"> “CHENSO” [CHESNO Civil Movement]. </w:t>
      </w:r>
      <w:proofErr w:type="gramStart"/>
      <w:r w:rsidRPr="00237968">
        <w:rPr>
          <w:rFonts w:ascii="Times New Roman" w:hAnsi="Times New Roman" w:cs="Times New Roman"/>
          <w:sz w:val="18"/>
          <w:szCs w:val="18"/>
          <w:lang w:val="en-US"/>
        </w:rPr>
        <w:t xml:space="preserve">Retrieved from </w:t>
      </w:r>
      <w:hyperlink r:id="rId15" w:history="1">
        <w:r w:rsidRPr="00237968">
          <w:rPr>
            <w:rStyle w:val="Hyperlink"/>
            <w:rFonts w:ascii="Times New Roman" w:hAnsi="Times New Roman" w:cs="Times New Roman"/>
            <w:sz w:val="18"/>
            <w:szCs w:val="18"/>
            <w:lang w:val="en-US"/>
          </w:rPr>
          <w:t>http://www.chesno.org/t/12/zoloto_partiy_nf.html</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spellStart"/>
      <w:proofErr w:type="gramStart"/>
      <w:r w:rsidRPr="00237968">
        <w:rPr>
          <w:rFonts w:ascii="Times New Roman" w:hAnsi="Times New Roman" w:cs="Times New Roman"/>
          <w:sz w:val="18"/>
          <w:szCs w:val="18"/>
          <w:lang w:val="en-US"/>
        </w:rPr>
        <w:t>Kuzio</w:t>
      </w:r>
      <w:proofErr w:type="spellEnd"/>
      <w:r w:rsidRPr="00237968">
        <w:rPr>
          <w:rFonts w:ascii="Times New Roman" w:hAnsi="Times New Roman" w:cs="Times New Roman"/>
          <w:sz w:val="18"/>
          <w:szCs w:val="18"/>
          <w:lang w:val="en-US"/>
        </w:rPr>
        <w:t>, T. (2014).</w:t>
      </w:r>
      <w:proofErr w:type="gramEnd"/>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Impediments to the Emergence of Political Parties in Ukraine.</w:t>
      </w:r>
      <w:proofErr w:type="gramEnd"/>
      <w:r w:rsidRPr="00237968">
        <w:rPr>
          <w:rFonts w:ascii="Times New Roman" w:hAnsi="Times New Roman" w:cs="Times New Roman"/>
          <w:sz w:val="18"/>
          <w:szCs w:val="18"/>
          <w:lang w:val="en-US"/>
        </w:rPr>
        <w:t xml:space="preserve"> </w:t>
      </w:r>
      <w:r w:rsidRPr="00237968">
        <w:rPr>
          <w:rFonts w:ascii="Times New Roman" w:hAnsi="Times New Roman" w:cs="Times New Roman"/>
          <w:i/>
          <w:sz w:val="18"/>
          <w:szCs w:val="18"/>
          <w:lang w:val="en-US"/>
        </w:rPr>
        <w:t>Politics, 34</w:t>
      </w:r>
      <w:r w:rsidRPr="00237968">
        <w:rPr>
          <w:rFonts w:ascii="Times New Roman" w:hAnsi="Times New Roman" w:cs="Times New Roman"/>
          <w:sz w:val="18"/>
          <w:szCs w:val="18"/>
          <w:lang w:val="en-US"/>
        </w:rPr>
        <w:t>(4), 309–323.</w:t>
      </w:r>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spellStart"/>
      <w:proofErr w:type="gramStart"/>
      <w:r w:rsidRPr="00237968">
        <w:rPr>
          <w:rFonts w:ascii="Times New Roman" w:hAnsi="Times New Roman" w:cs="Times New Roman"/>
          <w:sz w:val="18"/>
          <w:szCs w:val="18"/>
          <w:lang w:val="en-US"/>
        </w:rPr>
        <w:t>Motrunych</w:t>
      </w:r>
      <w:proofErr w:type="spellEnd"/>
      <w:r w:rsidRPr="00237968">
        <w:rPr>
          <w:rFonts w:ascii="Times New Roman" w:hAnsi="Times New Roman" w:cs="Times New Roman"/>
          <w:sz w:val="18"/>
          <w:szCs w:val="18"/>
          <w:lang w:val="en-US"/>
        </w:rPr>
        <w:t>, M. (2017).</w:t>
      </w:r>
      <w:proofErr w:type="gramEnd"/>
      <w:r w:rsidRPr="00237968">
        <w:rPr>
          <w:rFonts w:ascii="Times New Roman" w:hAnsi="Times New Roman" w:cs="Times New Roman"/>
          <w:sz w:val="18"/>
          <w:szCs w:val="18"/>
          <w:lang w:val="en-US"/>
        </w:rPr>
        <w:t xml:space="preserve"> </w:t>
      </w:r>
      <w:r w:rsidRPr="00237968">
        <w:rPr>
          <w:rFonts w:ascii="Times New Roman" w:hAnsi="Times New Roman" w:cs="Times New Roman"/>
          <w:i/>
          <w:sz w:val="18"/>
          <w:szCs w:val="18"/>
          <w:lang w:val="en-US"/>
        </w:rPr>
        <w:t>“</w:t>
      </w:r>
      <w:proofErr w:type="spellStart"/>
      <w:r w:rsidRPr="00237968">
        <w:rPr>
          <w:rFonts w:ascii="Times New Roman" w:hAnsi="Times New Roman" w:cs="Times New Roman"/>
          <w:i/>
          <w:sz w:val="18"/>
          <w:szCs w:val="18"/>
          <w:lang w:val="en-US"/>
        </w:rPr>
        <w:t>Cherha</w:t>
      </w:r>
      <w:proofErr w:type="spellEnd"/>
      <w:r w:rsidRPr="00237968">
        <w:rPr>
          <w:rFonts w:ascii="Times New Roman" w:hAnsi="Times New Roman" w:cs="Times New Roman"/>
          <w:i/>
          <w:sz w:val="18"/>
          <w:szCs w:val="18"/>
          <w:lang w:val="en-US"/>
        </w:rPr>
        <w:t xml:space="preserve"> v </w:t>
      </w:r>
      <w:proofErr w:type="spellStart"/>
      <w:r w:rsidRPr="00237968">
        <w:rPr>
          <w:rFonts w:ascii="Times New Roman" w:hAnsi="Times New Roman" w:cs="Times New Roman"/>
          <w:i/>
          <w:sz w:val="18"/>
          <w:szCs w:val="18"/>
          <w:lang w:val="en-US"/>
        </w:rPr>
        <w:t>kasu</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partiini</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donory</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navit</w:t>
      </w:r>
      <w:proofErr w:type="spellEnd"/>
      <w:r w:rsidRPr="00237968">
        <w:rPr>
          <w:rFonts w:ascii="Times New Roman" w:hAnsi="Times New Roman" w:cs="Times New Roman"/>
          <w:i/>
          <w:sz w:val="18"/>
          <w:szCs w:val="18"/>
          <w:lang w:val="en-US"/>
        </w:rPr>
        <w:t xml:space="preserve">’ ne </w:t>
      </w:r>
      <w:proofErr w:type="spellStart"/>
      <w:r w:rsidRPr="00237968">
        <w:rPr>
          <w:rFonts w:ascii="Times New Roman" w:hAnsi="Times New Roman" w:cs="Times New Roman"/>
          <w:i/>
          <w:sz w:val="18"/>
          <w:szCs w:val="18"/>
          <w:lang w:val="en-US"/>
        </w:rPr>
        <w:t>znaiut</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shcho</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pidtrymuiiut</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partiyi</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tysiachamy</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hryven</w:t>
      </w:r>
      <w:proofErr w:type="spellEnd"/>
      <w:r w:rsidRPr="00237968">
        <w:rPr>
          <w:rFonts w:ascii="Times New Roman" w:hAnsi="Times New Roman" w:cs="Times New Roman"/>
          <w:i/>
          <w:sz w:val="18"/>
          <w:szCs w:val="18"/>
          <w:lang w:val="en-US"/>
        </w:rPr>
        <w:t>’</w:t>
      </w:r>
      <w:r w:rsidRPr="00237968">
        <w:rPr>
          <w:rFonts w:ascii="Times New Roman" w:hAnsi="Times New Roman" w:cs="Times New Roman"/>
          <w:sz w:val="18"/>
          <w:szCs w:val="18"/>
          <w:lang w:val="en-US"/>
        </w:rPr>
        <w:t xml:space="preserve"> [</w:t>
      </w:r>
      <w:r w:rsidRPr="00237968">
        <w:rPr>
          <w:rFonts w:ascii="Times New Roman" w:hAnsi="Times New Roman" w:cs="Times New Roman"/>
          <w:i/>
          <w:sz w:val="18"/>
          <w:szCs w:val="18"/>
          <w:lang w:val="en-US"/>
        </w:rPr>
        <w:t>Queue to a cashbox: party donors do not even know that they support parties with their money</w:t>
      </w:r>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Bihus.Info</w:t>
      </w:r>
      <w:proofErr w:type="spellEnd"/>
      <w:r w:rsidRPr="00237968">
        <w:rPr>
          <w:rFonts w:ascii="Times New Roman" w:hAnsi="Times New Roman" w:cs="Times New Roman"/>
          <w:sz w:val="18"/>
          <w:szCs w:val="18"/>
          <w:lang w:val="en-US"/>
        </w:rPr>
        <w:t xml:space="preserve">. Retrieved from </w:t>
      </w:r>
      <w:hyperlink r:id="rId16" w:history="1">
        <w:r w:rsidRPr="00237968">
          <w:rPr>
            <w:rStyle w:val="Hyperlink"/>
            <w:rFonts w:ascii="Times New Roman" w:hAnsi="Times New Roman" w:cs="Times New Roman"/>
            <w:sz w:val="18"/>
            <w:szCs w:val="18"/>
            <w:lang w:val="en-US"/>
          </w:rPr>
          <w:t>https://bihus.info/cerga-do-kasi-partiini-donori-navit-ne-znaut-so-voni-pidtrimuut-partii-tisacami-griven</w:t>
        </w:r>
      </w:hyperlink>
      <w:r w:rsidRPr="00237968">
        <w:rPr>
          <w:rFonts w:ascii="Times New Roman" w:hAnsi="Times New Roman" w:cs="Times New Roman"/>
          <w:sz w:val="18"/>
          <w:szCs w:val="18"/>
          <w:lang w:val="en-US"/>
        </w:rPr>
        <w:t xml:space="preserve">. </w:t>
      </w:r>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OPORA (2014).</w:t>
      </w:r>
      <w:proofErr w:type="gramEnd"/>
      <w:r w:rsidRPr="00237968">
        <w:rPr>
          <w:rFonts w:ascii="Times New Roman" w:hAnsi="Times New Roman" w:cs="Times New Roman"/>
          <w:sz w:val="18"/>
          <w:szCs w:val="18"/>
          <w:lang w:val="en-US"/>
        </w:rPr>
        <w:t xml:space="preserve"> </w:t>
      </w:r>
      <w:proofErr w:type="spellStart"/>
      <w:proofErr w:type="gramStart"/>
      <w:r w:rsidRPr="00237968">
        <w:rPr>
          <w:rFonts w:ascii="Times New Roman" w:hAnsi="Times New Roman" w:cs="Times New Roman"/>
          <w:i/>
          <w:sz w:val="18"/>
          <w:szCs w:val="18"/>
          <w:lang w:val="en-US"/>
        </w:rPr>
        <w:t>Zvit</w:t>
      </w:r>
      <w:proofErr w:type="spellEnd"/>
      <w:r w:rsidRPr="00237968">
        <w:rPr>
          <w:rFonts w:ascii="Times New Roman" w:hAnsi="Times New Roman" w:cs="Times New Roman"/>
          <w:i/>
          <w:sz w:val="18"/>
          <w:szCs w:val="18"/>
          <w:lang w:val="en-US"/>
        </w:rPr>
        <w:t>.</w:t>
      </w:r>
      <w:proofErr w:type="gram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Finansuvannia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peredvyborchoii</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ahitatsiyi</w:t>
      </w:r>
      <w:proofErr w:type="spellEnd"/>
      <w:r w:rsidRPr="00237968">
        <w:rPr>
          <w:rFonts w:ascii="Times New Roman" w:hAnsi="Times New Roman" w:cs="Times New Roman"/>
          <w:i/>
          <w:sz w:val="18"/>
          <w:szCs w:val="18"/>
          <w:lang w:val="en-US"/>
        </w:rPr>
        <w:t xml:space="preserve"> </w:t>
      </w:r>
      <w:proofErr w:type="spellStart"/>
      <w:proofErr w:type="gramStart"/>
      <w:r w:rsidRPr="00237968">
        <w:rPr>
          <w:rFonts w:ascii="Times New Roman" w:hAnsi="Times New Roman" w:cs="Times New Roman"/>
          <w:i/>
          <w:sz w:val="18"/>
          <w:szCs w:val="18"/>
          <w:lang w:val="en-US"/>
        </w:rPr>
        <w:t>na</w:t>
      </w:r>
      <w:proofErr w:type="spellEnd"/>
      <w:proofErr w:type="gram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pozacherhovykh</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parlamentskykh</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vyborakh</w:t>
      </w:r>
      <w:proofErr w:type="spellEnd"/>
      <w:r w:rsidRPr="00237968">
        <w:rPr>
          <w:rFonts w:ascii="Times New Roman" w:hAnsi="Times New Roman" w:cs="Times New Roman"/>
          <w:i/>
          <w:sz w:val="18"/>
          <w:szCs w:val="18"/>
          <w:lang w:val="en-US"/>
        </w:rPr>
        <w:t xml:space="preserve"> 2014 </w:t>
      </w:r>
      <w:proofErr w:type="spellStart"/>
      <w:r w:rsidRPr="00237968">
        <w:rPr>
          <w:rFonts w:ascii="Times New Roman" w:hAnsi="Times New Roman" w:cs="Times New Roman"/>
          <w:i/>
          <w:sz w:val="18"/>
          <w:szCs w:val="18"/>
          <w:lang w:val="en-US"/>
        </w:rPr>
        <w:t>roky</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vyborchu</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fondy</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politychnykh</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partii</w:t>
      </w:r>
      <w:proofErr w:type="spellEnd"/>
      <w:r w:rsidRPr="00237968">
        <w:rPr>
          <w:rFonts w:ascii="Times New Roman" w:hAnsi="Times New Roman" w:cs="Times New Roman"/>
          <w:i/>
          <w:sz w:val="18"/>
          <w:szCs w:val="18"/>
          <w:lang w:val="en-US"/>
        </w:rPr>
        <w:t xml:space="preserve"> </w:t>
      </w:r>
      <w:r w:rsidRPr="00237968">
        <w:rPr>
          <w:rFonts w:ascii="Times New Roman" w:hAnsi="Times New Roman" w:cs="Times New Roman"/>
          <w:sz w:val="18"/>
          <w:szCs w:val="18"/>
          <w:lang w:val="en-US"/>
        </w:rPr>
        <w:t>[</w:t>
      </w:r>
      <w:r w:rsidRPr="00237968">
        <w:rPr>
          <w:rFonts w:ascii="Times New Roman" w:hAnsi="Times New Roman" w:cs="Times New Roman"/>
          <w:i/>
          <w:sz w:val="18"/>
          <w:szCs w:val="18"/>
          <w:lang w:val="en-US"/>
        </w:rPr>
        <w:t xml:space="preserve">Report. </w:t>
      </w:r>
      <w:proofErr w:type="spellStart"/>
      <w:r w:rsidRPr="00237968">
        <w:rPr>
          <w:rFonts w:ascii="Times New Roman" w:hAnsi="Times New Roman" w:cs="Times New Roman"/>
          <w:i/>
          <w:sz w:val="18"/>
          <w:szCs w:val="18"/>
          <w:lang w:val="en-US"/>
        </w:rPr>
        <w:t>Funinacing</w:t>
      </w:r>
      <w:proofErr w:type="spellEnd"/>
      <w:r w:rsidRPr="00237968">
        <w:rPr>
          <w:rFonts w:ascii="Times New Roman" w:hAnsi="Times New Roman" w:cs="Times New Roman"/>
          <w:i/>
          <w:sz w:val="18"/>
          <w:szCs w:val="18"/>
          <w:lang w:val="en-US"/>
        </w:rPr>
        <w:t xml:space="preserve"> of electoral agitation on the pre-term parliamentary elections of 2014: electoral funds of political parties</w:t>
      </w:r>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Reprieved from </w:t>
      </w:r>
      <w:hyperlink r:id="rId17" w:history="1">
        <w:r w:rsidRPr="00237968">
          <w:rPr>
            <w:rStyle w:val="Hyperlink"/>
            <w:rFonts w:ascii="Times New Roman" w:hAnsi="Times New Roman" w:cs="Times New Roman"/>
            <w:sz w:val="18"/>
            <w:szCs w:val="18"/>
            <w:lang w:val="en-US"/>
          </w:rPr>
          <w:t>https://www.oporaua.org/news/7523-finansuvannja-peredvyborchoji-agitaciji-na-pozachergovyh-parlamentskyh-vyborah-2014-roku-vyborchi-fondy-politychnyh-partij</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OPORA (2015).</w:t>
      </w:r>
      <w:proofErr w:type="gramEnd"/>
      <w:r w:rsidRPr="00237968">
        <w:rPr>
          <w:rFonts w:ascii="Times New Roman" w:hAnsi="Times New Roman" w:cs="Times New Roman"/>
          <w:sz w:val="18"/>
          <w:szCs w:val="18"/>
          <w:lang w:val="en-US"/>
        </w:rPr>
        <w:t xml:space="preserve"> </w:t>
      </w:r>
      <w:proofErr w:type="spellStart"/>
      <w:proofErr w:type="gramStart"/>
      <w:r w:rsidRPr="00237968">
        <w:rPr>
          <w:rFonts w:ascii="Times New Roman" w:hAnsi="Times New Roman" w:cs="Times New Roman"/>
          <w:i/>
          <w:sz w:val="18"/>
          <w:szCs w:val="18"/>
          <w:lang w:val="en-US"/>
        </w:rPr>
        <w:t>Zvit</w:t>
      </w:r>
      <w:proofErr w:type="spellEnd"/>
      <w:r w:rsidRPr="00237968">
        <w:rPr>
          <w:rFonts w:ascii="Times New Roman" w:hAnsi="Times New Roman" w:cs="Times New Roman"/>
          <w:i/>
          <w:sz w:val="18"/>
          <w:szCs w:val="18"/>
          <w:lang w:val="en-US"/>
        </w:rPr>
        <w:t>.</w:t>
      </w:r>
      <w:proofErr w:type="gramEnd"/>
      <w:r w:rsidRPr="00237968">
        <w:rPr>
          <w:rFonts w:ascii="Times New Roman" w:hAnsi="Times New Roman" w:cs="Times New Roman"/>
          <w:i/>
          <w:sz w:val="18"/>
          <w:szCs w:val="18"/>
          <w:lang w:val="en-US"/>
        </w:rPr>
        <w:t xml:space="preserve"> </w:t>
      </w:r>
      <w:proofErr w:type="spellStart"/>
      <w:proofErr w:type="gramStart"/>
      <w:r w:rsidRPr="00237968">
        <w:rPr>
          <w:rFonts w:ascii="Times New Roman" w:hAnsi="Times New Roman" w:cs="Times New Roman"/>
          <w:i/>
          <w:sz w:val="18"/>
          <w:szCs w:val="18"/>
          <w:lang w:val="en-US"/>
        </w:rPr>
        <w:t>Rozsliduvannia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zlochyniv</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poviazanykh</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kiz</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vyborchym</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protsesom</w:t>
      </w:r>
      <w:proofErr w:type="spellEnd"/>
      <w:r w:rsidRPr="00237968">
        <w:rPr>
          <w:rFonts w:ascii="Times New Roman" w:hAnsi="Times New Roman" w:cs="Times New Roman"/>
          <w:i/>
          <w:sz w:val="18"/>
          <w:szCs w:val="18"/>
          <w:lang w:val="en-US"/>
        </w:rPr>
        <w:t xml:space="preserve"> 2014 </w:t>
      </w:r>
      <w:proofErr w:type="spellStart"/>
      <w:r w:rsidRPr="00237968">
        <w:rPr>
          <w:rFonts w:ascii="Times New Roman" w:hAnsi="Times New Roman" w:cs="Times New Roman"/>
          <w:i/>
          <w:sz w:val="18"/>
          <w:szCs w:val="18"/>
          <w:lang w:val="en-US"/>
        </w:rPr>
        <w:t>roku</w:t>
      </w:r>
      <w:proofErr w:type="spellEnd"/>
      <w:r w:rsidRPr="00237968">
        <w:rPr>
          <w:rFonts w:ascii="Times New Roman" w:hAnsi="Times New Roman" w:cs="Times New Roman"/>
          <w:i/>
          <w:sz w:val="18"/>
          <w:szCs w:val="18"/>
          <w:lang w:val="en-US"/>
        </w:rPr>
        <w:t xml:space="preserve"> </w:t>
      </w:r>
      <w:r w:rsidRPr="00237968">
        <w:rPr>
          <w:rFonts w:ascii="Times New Roman" w:hAnsi="Times New Roman" w:cs="Times New Roman"/>
          <w:sz w:val="18"/>
          <w:szCs w:val="18"/>
          <w:lang w:val="en-US"/>
        </w:rPr>
        <w:t>[</w:t>
      </w:r>
      <w:r w:rsidRPr="00237968">
        <w:rPr>
          <w:rFonts w:ascii="Times New Roman" w:hAnsi="Times New Roman" w:cs="Times New Roman"/>
          <w:i/>
          <w:sz w:val="18"/>
          <w:szCs w:val="18"/>
          <w:lang w:val="en-US"/>
        </w:rPr>
        <w:t>Report.</w:t>
      </w:r>
      <w:proofErr w:type="gramEnd"/>
      <w:r w:rsidRPr="00237968">
        <w:rPr>
          <w:rFonts w:ascii="Times New Roman" w:hAnsi="Times New Roman" w:cs="Times New Roman"/>
          <w:i/>
          <w:sz w:val="18"/>
          <w:szCs w:val="18"/>
          <w:lang w:val="en-US"/>
        </w:rPr>
        <w:t xml:space="preserve"> Investigation of criminal offences related to electoral process of 2014</w:t>
      </w:r>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Reprieved from </w:t>
      </w:r>
      <w:hyperlink r:id="rId18" w:history="1">
        <w:r w:rsidRPr="00237968">
          <w:rPr>
            <w:rStyle w:val="Hyperlink"/>
            <w:rFonts w:ascii="Times New Roman" w:hAnsi="Times New Roman" w:cs="Times New Roman"/>
            <w:sz w:val="18"/>
            <w:szCs w:val="18"/>
            <w:lang w:val="en-US"/>
          </w:rPr>
          <w:t>https://www.oporaua.org/news/7993-zvit-rozsliduvannja-zlochyniv-povjazanyh-iz-vyborchym-procesom-2014-r</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OSCE/ODIHR (2013).</w:t>
      </w:r>
      <w:proofErr w:type="gramEnd"/>
      <w:r w:rsidRPr="00237968">
        <w:rPr>
          <w:rFonts w:ascii="Times New Roman" w:hAnsi="Times New Roman" w:cs="Times New Roman"/>
          <w:sz w:val="18"/>
          <w:szCs w:val="18"/>
          <w:lang w:val="en-US"/>
        </w:rPr>
        <w:t xml:space="preserve"> </w:t>
      </w:r>
      <w:r w:rsidRPr="00237968">
        <w:rPr>
          <w:rFonts w:ascii="Times New Roman" w:hAnsi="Times New Roman" w:cs="Times New Roman"/>
          <w:i/>
          <w:sz w:val="18"/>
          <w:szCs w:val="18"/>
          <w:lang w:val="en-US"/>
        </w:rPr>
        <w:t>Ukraine. Parliamentary Elections, 28 October 2012. Election Observation Mission Final Report.</w:t>
      </w:r>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19" w:history="1">
        <w:r w:rsidRPr="00237968">
          <w:rPr>
            <w:rStyle w:val="Hyperlink"/>
            <w:rFonts w:ascii="Times New Roman" w:hAnsi="Times New Roman" w:cs="Times New Roman"/>
            <w:sz w:val="18"/>
            <w:szCs w:val="18"/>
            <w:lang w:val="en-US"/>
          </w:rPr>
          <w:t>http://www.osce.org/odihr/98578?download=true</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OSCE/ODIHR (2014).</w:t>
      </w:r>
      <w:proofErr w:type="gramEnd"/>
      <w:r w:rsidRPr="00237968">
        <w:rPr>
          <w:rFonts w:ascii="Times New Roman" w:hAnsi="Times New Roman" w:cs="Times New Roman"/>
          <w:sz w:val="18"/>
          <w:szCs w:val="18"/>
          <w:lang w:val="en-US"/>
        </w:rPr>
        <w:t xml:space="preserve"> </w:t>
      </w:r>
      <w:r w:rsidRPr="00237968">
        <w:rPr>
          <w:rFonts w:ascii="Times New Roman" w:hAnsi="Times New Roman" w:cs="Times New Roman"/>
          <w:i/>
          <w:sz w:val="18"/>
          <w:szCs w:val="18"/>
          <w:lang w:val="en-US"/>
        </w:rPr>
        <w:t>Ukraine. Early Parliamentary Elections, 26 October 2014. Election Observation Mission Final Report</w:t>
      </w:r>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20" w:history="1">
        <w:r w:rsidRPr="00237968">
          <w:rPr>
            <w:rStyle w:val="Hyperlink"/>
            <w:rFonts w:ascii="Times New Roman" w:hAnsi="Times New Roman" w:cs="Times New Roman"/>
            <w:sz w:val="18"/>
            <w:szCs w:val="18"/>
            <w:lang w:val="en-US"/>
          </w:rPr>
          <w:t>http://www.osce.org/odihr/elections/ukraine/132556?download=true</w:t>
        </w:r>
      </w:hyperlink>
      <w:r w:rsidRPr="00237968">
        <w:rPr>
          <w:rFonts w:ascii="Times New Roman" w:hAnsi="Times New Roman" w:cs="Times New Roman"/>
          <w:sz w:val="18"/>
          <w:szCs w:val="18"/>
          <w:lang w:val="en-US"/>
        </w:rPr>
        <w:t>.</w:t>
      </w:r>
      <w:proofErr w:type="gramEnd"/>
      <w:r w:rsidRPr="00237968">
        <w:rPr>
          <w:rFonts w:ascii="Times New Roman" w:hAnsi="Times New Roman" w:cs="Times New Roman"/>
          <w:sz w:val="18"/>
          <w:szCs w:val="18"/>
          <w:lang w:val="en-US"/>
        </w:rPr>
        <w:t xml:space="preserve"> </w:t>
      </w:r>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OSCE/ODIHR (2015).</w:t>
      </w:r>
      <w:proofErr w:type="gramEnd"/>
      <w:r w:rsidRPr="00237968">
        <w:rPr>
          <w:rFonts w:ascii="Times New Roman" w:hAnsi="Times New Roman" w:cs="Times New Roman"/>
          <w:sz w:val="18"/>
          <w:szCs w:val="18"/>
          <w:lang w:val="en-US"/>
        </w:rPr>
        <w:t xml:space="preserve"> </w:t>
      </w:r>
      <w:r w:rsidRPr="00237968">
        <w:rPr>
          <w:rFonts w:ascii="Times New Roman" w:hAnsi="Times New Roman" w:cs="Times New Roman"/>
          <w:i/>
          <w:sz w:val="18"/>
          <w:szCs w:val="18"/>
          <w:lang w:val="en-US"/>
        </w:rPr>
        <w:t xml:space="preserve">Ukraine, Local Elections, </w:t>
      </w:r>
      <w:proofErr w:type="gramStart"/>
      <w:r w:rsidRPr="00237968">
        <w:rPr>
          <w:rFonts w:ascii="Times New Roman" w:hAnsi="Times New Roman" w:cs="Times New Roman"/>
          <w:i/>
          <w:sz w:val="18"/>
          <w:szCs w:val="18"/>
          <w:lang w:val="en-US"/>
        </w:rPr>
        <w:t>25</w:t>
      </w:r>
      <w:proofErr w:type="gramEnd"/>
      <w:r w:rsidRPr="00237968">
        <w:rPr>
          <w:rFonts w:ascii="Times New Roman" w:hAnsi="Times New Roman" w:cs="Times New Roman"/>
          <w:i/>
          <w:sz w:val="18"/>
          <w:szCs w:val="18"/>
          <w:lang w:val="en-US"/>
        </w:rPr>
        <w:t xml:space="preserve"> October 2015: Needs Assessment Mission Report</w:t>
      </w:r>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21" w:history="1">
        <w:r w:rsidRPr="00237968">
          <w:rPr>
            <w:rStyle w:val="Hyperlink"/>
            <w:rFonts w:ascii="Times New Roman" w:hAnsi="Times New Roman" w:cs="Times New Roman"/>
            <w:sz w:val="18"/>
            <w:szCs w:val="18"/>
            <w:lang w:val="en-US"/>
          </w:rPr>
          <w:t>http://www.osce.org/odihr/elections/ukraine/177901?download=true</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OSCE/ODIHR,</w:t>
      </w:r>
      <w:proofErr w:type="gramEnd"/>
      <w:r w:rsidRPr="00237968">
        <w:rPr>
          <w:rFonts w:ascii="Times New Roman" w:hAnsi="Times New Roman" w:cs="Times New Roman"/>
          <w:sz w:val="18"/>
          <w:szCs w:val="18"/>
          <w:lang w:val="en-US"/>
        </w:rPr>
        <w:t xml:space="preserve"> &amp; the Venice Commission (2015). </w:t>
      </w:r>
      <w:proofErr w:type="gramStart"/>
      <w:r w:rsidRPr="00237968">
        <w:rPr>
          <w:rFonts w:ascii="Times New Roman" w:hAnsi="Times New Roman" w:cs="Times New Roman"/>
          <w:i/>
          <w:sz w:val="18"/>
          <w:szCs w:val="18"/>
          <w:lang w:val="en-US"/>
        </w:rPr>
        <w:t>Joint Opinion on the Draft Amendments to Some Legislative Acts Concerning Prevention of and Fight against Political Corruption of Ukraine</w:t>
      </w:r>
      <w:r w:rsidRPr="00237968">
        <w:rPr>
          <w:rFonts w:ascii="Times New Roman" w:hAnsi="Times New Roman" w:cs="Times New Roman"/>
          <w:sz w:val="18"/>
          <w:szCs w:val="18"/>
          <w:lang w:val="en-US"/>
        </w:rPr>
        <w:t>.</w:t>
      </w:r>
      <w:proofErr w:type="gramEnd"/>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22" w:history="1">
        <w:r w:rsidRPr="00237968">
          <w:rPr>
            <w:rStyle w:val="Hyperlink"/>
            <w:rFonts w:ascii="Times New Roman" w:hAnsi="Times New Roman" w:cs="Times New Roman"/>
            <w:sz w:val="18"/>
            <w:szCs w:val="18"/>
            <w:lang w:val="en-US"/>
          </w:rPr>
          <w:t>http://www.osce.org/odihr/elections/ukraine/195946?download=true</w:t>
        </w:r>
      </w:hyperlink>
      <w:r w:rsidRPr="00237968">
        <w:rPr>
          <w:rFonts w:ascii="Times New Roman" w:hAnsi="Times New Roman" w:cs="Times New Roman"/>
          <w:sz w:val="18"/>
          <w:szCs w:val="18"/>
          <w:lang w:val="en-US"/>
        </w:rPr>
        <w:t>.</w:t>
      </w:r>
      <w:proofErr w:type="gramEnd"/>
      <w:r w:rsidRPr="00237968">
        <w:rPr>
          <w:rFonts w:ascii="Times New Roman" w:hAnsi="Times New Roman" w:cs="Times New Roman"/>
          <w:sz w:val="18"/>
          <w:szCs w:val="18"/>
          <w:lang w:val="en-US"/>
        </w:rPr>
        <w:t xml:space="preserve"> </w:t>
      </w:r>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spellStart"/>
      <w:r w:rsidRPr="00237968">
        <w:rPr>
          <w:rFonts w:ascii="Times New Roman" w:hAnsi="Times New Roman" w:cs="Times New Roman"/>
          <w:sz w:val="18"/>
          <w:szCs w:val="18"/>
          <w:lang w:val="es-US"/>
        </w:rPr>
        <w:t>Riaboshapka</w:t>
      </w:r>
      <w:proofErr w:type="spellEnd"/>
      <w:r w:rsidRPr="00237968">
        <w:rPr>
          <w:rFonts w:ascii="Times New Roman" w:hAnsi="Times New Roman" w:cs="Times New Roman"/>
          <w:sz w:val="18"/>
          <w:szCs w:val="18"/>
          <w:lang w:val="es-US"/>
        </w:rPr>
        <w:t xml:space="preserve">, R., Taran, V., </w:t>
      </w:r>
      <w:proofErr w:type="spellStart"/>
      <w:r w:rsidRPr="00237968">
        <w:rPr>
          <w:rFonts w:ascii="Times New Roman" w:hAnsi="Times New Roman" w:cs="Times New Roman"/>
          <w:sz w:val="18"/>
          <w:szCs w:val="18"/>
          <w:lang w:val="es-US"/>
        </w:rPr>
        <w:t>Skliarov</w:t>
      </w:r>
      <w:proofErr w:type="spellEnd"/>
      <w:r w:rsidRPr="00237968">
        <w:rPr>
          <w:rFonts w:ascii="Times New Roman" w:hAnsi="Times New Roman" w:cs="Times New Roman"/>
          <w:sz w:val="18"/>
          <w:szCs w:val="18"/>
          <w:lang w:val="es-US"/>
        </w:rPr>
        <w:t xml:space="preserve"> R., &amp; Balaban, R. (2015). </w:t>
      </w:r>
      <w:r w:rsidRPr="00237968">
        <w:rPr>
          <w:rFonts w:ascii="Times New Roman" w:hAnsi="Times New Roman" w:cs="Times New Roman"/>
          <w:i/>
          <w:sz w:val="18"/>
          <w:szCs w:val="18"/>
          <w:lang w:val="en-US"/>
        </w:rPr>
        <w:t xml:space="preserve">Na </w:t>
      </w:r>
      <w:proofErr w:type="spellStart"/>
      <w:r w:rsidRPr="00237968">
        <w:rPr>
          <w:rFonts w:ascii="Times New Roman" w:hAnsi="Times New Roman" w:cs="Times New Roman"/>
          <w:i/>
          <w:sz w:val="18"/>
          <w:szCs w:val="18"/>
          <w:lang w:val="en-US"/>
        </w:rPr>
        <w:t>shliakhu</w:t>
      </w:r>
      <w:proofErr w:type="spellEnd"/>
      <w:r w:rsidRPr="00237968">
        <w:rPr>
          <w:rFonts w:ascii="Times New Roman" w:hAnsi="Times New Roman" w:cs="Times New Roman"/>
          <w:i/>
          <w:sz w:val="18"/>
          <w:szCs w:val="18"/>
          <w:lang w:val="en-US"/>
        </w:rPr>
        <w:t xml:space="preserve"> do </w:t>
      </w:r>
      <w:proofErr w:type="spellStart"/>
      <w:r w:rsidRPr="00237968">
        <w:rPr>
          <w:rFonts w:ascii="Times New Roman" w:hAnsi="Times New Roman" w:cs="Times New Roman"/>
          <w:i/>
          <w:sz w:val="18"/>
          <w:szCs w:val="18"/>
          <w:lang w:val="en-US"/>
        </w:rPr>
        <w:t>derzhavnoho</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financuvannia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partii</w:t>
      </w:r>
      <w:proofErr w:type="spellEnd"/>
      <w:r w:rsidRPr="00237968">
        <w:rPr>
          <w:rFonts w:ascii="Times New Roman" w:hAnsi="Times New Roman" w:cs="Times New Roman"/>
          <w:i/>
          <w:sz w:val="18"/>
          <w:szCs w:val="18"/>
          <w:lang w:val="en-US"/>
        </w:rPr>
        <w:t xml:space="preserve"> </w:t>
      </w:r>
      <w:r w:rsidRPr="00237968">
        <w:rPr>
          <w:rFonts w:ascii="Times New Roman" w:hAnsi="Times New Roman" w:cs="Times New Roman"/>
          <w:sz w:val="18"/>
          <w:szCs w:val="18"/>
          <w:lang w:val="en-US"/>
        </w:rPr>
        <w:t>[</w:t>
      </w:r>
      <w:r w:rsidRPr="00237968">
        <w:rPr>
          <w:rFonts w:ascii="Times New Roman" w:hAnsi="Times New Roman" w:cs="Times New Roman"/>
          <w:i/>
          <w:sz w:val="18"/>
          <w:szCs w:val="18"/>
          <w:lang w:val="en-US"/>
        </w:rPr>
        <w:t>On the road to public funding of parliamentary parties</w:t>
      </w:r>
      <w:r w:rsidRPr="00237968">
        <w:rPr>
          <w:rFonts w:ascii="Times New Roman" w:hAnsi="Times New Roman" w:cs="Times New Roman"/>
          <w:sz w:val="18"/>
          <w:szCs w:val="18"/>
          <w:lang w:val="en-US"/>
        </w:rPr>
        <w:t xml:space="preserve">]. </w:t>
      </w:r>
      <w:proofErr w:type="spellStart"/>
      <w:proofErr w:type="gramStart"/>
      <w:r w:rsidRPr="00237968">
        <w:rPr>
          <w:rFonts w:ascii="Times New Roman" w:hAnsi="Times New Roman" w:cs="Times New Roman"/>
          <w:sz w:val="18"/>
          <w:szCs w:val="18"/>
          <w:lang w:val="en-US"/>
        </w:rPr>
        <w:t>Tsentr</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politychnykh</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studiy</w:t>
      </w:r>
      <w:proofErr w:type="spellEnd"/>
      <w:r w:rsidRPr="00237968">
        <w:rPr>
          <w:rFonts w:ascii="Times New Roman" w:hAnsi="Times New Roman" w:cs="Times New Roman"/>
          <w:sz w:val="18"/>
          <w:szCs w:val="18"/>
          <w:lang w:val="en-US"/>
        </w:rPr>
        <w:t xml:space="preserve"> i </w:t>
      </w:r>
      <w:proofErr w:type="spellStart"/>
      <w:r w:rsidRPr="00237968">
        <w:rPr>
          <w:rFonts w:ascii="Times New Roman" w:hAnsi="Times New Roman" w:cs="Times New Roman"/>
          <w:sz w:val="18"/>
          <w:szCs w:val="18"/>
          <w:lang w:val="en-US"/>
        </w:rPr>
        <w:t>analityky</w:t>
      </w:r>
      <w:proofErr w:type="spellEnd"/>
      <w:r w:rsidRPr="00237968">
        <w:rPr>
          <w:rFonts w:ascii="Times New Roman" w:hAnsi="Times New Roman" w:cs="Times New Roman"/>
          <w:sz w:val="18"/>
          <w:szCs w:val="18"/>
          <w:lang w:val="en-US"/>
        </w:rPr>
        <w:t xml:space="preserve"> [Centre for Political Studies and Analysis].</w:t>
      </w:r>
      <w:proofErr w:type="gramEnd"/>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23" w:history="1">
        <w:r w:rsidRPr="00237968">
          <w:rPr>
            <w:rStyle w:val="Hyperlink"/>
            <w:rFonts w:ascii="Times New Roman" w:hAnsi="Times New Roman" w:cs="Times New Roman"/>
            <w:sz w:val="18"/>
            <w:szCs w:val="18"/>
            <w:lang w:val="en-US"/>
          </w:rPr>
          <w:t>http://eidos.org.ua/wp-content/uploads/2015/01/PARTIES03_17.pdf</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r w:rsidRPr="00237968">
        <w:rPr>
          <w:rFonts w:ascii="Times New Roman" w:hAnsi="Times New Roman" w:cs="Times New Roman"/>
          <w:sz w:val="18"/>
          <w:szCs w:val="18"/>
          <w:lang w:val="en-US"/>
        </w:rPr>
        <w:t xml:space="preserve">Sydorchuk, O. (2017). </w:t>
      </w:r>
      <w:proofErr w:type="gramStart"/>
      <w:r w:rsidRPr="00237968">
        <w:rPr>
          <w:rFonts w:ascii="Times New Roman" w:hAnsi="Times New Roman" w:cs="Times New Roman"/>
          <w:i/>
          <w:sz w:val="18"/>
          <w:szCs w:val="18"/>
          <w:lang w:val="en-US"/>
        </w:rPr>
        <w:t>Fighting Goliath: The Reform of Party Finance in Ukraine</w:t>
      </w:r>
      <w:r w:rsidRPr="00237968">
        <w:rPr>
          <w:rFonts w:ascii="Times New Roman" w:hAnsi="Times New Roman" w:cs="Times New Roman"/>
          <w:sz w:val="18"/>
          <w:szCs w:val="18"/>
          <w:lang w:val="en-US"/>
        </w:rPr>
        <w:t>.</w:t>
      </w:r>
      <w:proofErr w:type="gramEnd"/>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24" w:history="1">
        <w:r w:rsidRPr="00237968">
          <w:rPr>
            <w:rStyle w:val="Hyperlink"/>
            <w:rFonts w:ascii="Times New Roman" w:hAnsi="Times New Roman" w:cs="Times New Roman"/>
            <w:sz w:val="18"/>
            <w:szCs w:val="18"/>
            <w:lang w:val="en-US"/>
          </w:rPr>
          <w:t>http://dif.org.ua/uploads/pdf/171118265758a6f4c90b56b6.15607560.pdf</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gramStart"/>
      <w:r w:rsidRPr="00237968">
        <w:rPr>
          <w:rFonts w:ascii="Times New Roman" w:hAnsi="Times New Roman" w:cs="Times New Roman"/>
          <w:sz w:val="18"/>
          <w:szCs w:val="18"/>
          <w:lang w:val="en-US"/>
        </w:rPr>
        <w:t>Shevchenko, T. (2013).</w:t>
      </w:r>
      <w:proofErr w:type="gram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i/>
          <w:sz w:val="18"/>
          <w:szCs w:val="18"/>
          <w:lang w:val="en-US"/>
        </w:rPr>
        <w:t>Politychna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reklama</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zaboronyty</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chy</w:t>
      </w:r>
      <w:proofErr w:type="spellEnd"/>
      <w:r w:rsidRPr="00237968">
        <w:rPr>
          <w:rFonts w:ascii="Times New Roman" w:hAnsi="Times New Roman" w:cs="Times New Roman"/>
          <w:i/>
          <w:sz w:val="18"/>
          <w:szCs w:val="18"/>
          <w:lang w:val="en-US"/>
        </w:rPr>
        <w:t xml:space="preserve"> </w:t>
      </w:r>
      <w:proofErr w:type="spellStart"/>
      <w:r w:rsidRPr="00237968">
        <w:rPr>
          <w:rFonts w:ascii="Times New Roman" w:hAnsi="Times New Roman" w:cs="Times New Roman"/>
          <w:i/>
          <w:sz w:val="18"/>
          <w:szCs w:val="18"/>
          <w:lang w:val="en-US"/>
        </w:rPr>
        <w:t>obmezhyty</w:t>
      </w:r>
      <w:proofErr w:type="spellEnd"/>
      <w:r w:rsidRPr="00237968">
        <w:rPr>
          <w:rFonts w:ascii="Times New Roman" w:hAnsi="Times New Roman" w:cs="Times New Roman"/>
          <w:i/>
          <w:sz w:val="18"/>
          <w:szCs w:val="18"/>
          <w:lang w:val="en-US"/>
        </w:rPr>
        <w:t>?</w:t>
      </w:r>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w:t>
      </w:r>
      <w:r w:rsidRPr="00237968">
        <w:rPr>
          <w:rFonts w:ascii="Times New Roman" w:hAnsi="Times New Roman" w:cs="Times New Roman"/>
          <w:i/>
          <w:sz w:val="18"/>
          <w:szCs w:val="18"/>
          <w:lang w:val="en-US"/>
        </w:rPr>
        <w:t>Political advertisement: to ban or to limit?</w:t>
      </w:r>
      <w:r w:rsidRPr="00237968">
        <w:rPr>
          <w:rFonts w:ascii="Times New Roman" w:hAnsi="Times New Roman" w:cs="Times New Roman"/>
          <w:sz w:val="18"/>
          <w:szCs w:val="18"/>
          <w:lang w:val="en-US"/>
        </w:rPr>
        <w:t>].</w:t>
      </w:r>
      <w:proofErr w:type="gramEnd"/>
      <w:r w:rsidRPr="00237968">
        <w:rPr>
          <w:rFonts w:ascii="Times New Roman" w:hAnsi="Times New Roman" w:cs="Times New Roman"/>
          <w:sz w:val="18"/>
          <w:szCs w:val="18"/>
          <w:lang w:val="en-US"/>
        </w:rPr>
        <w:t xml:space="preserve"> </w:t>
      </w:r>
      <w:proofErr w:type="spellStart"/>
      <w:proofErr w:type="gramStart"/>
      <w:r w:rsidRPr="00237968">
        <w:rPr>
          <w:rFonts w:ascii="Times New Roman" w:hAnsi="Times New Roman" w:cs="Times New Roman"/>
          <w:sz w:val="18"/>
          <w:szCs w:val="18"/>
          <w:lang w:val="en-US"/>
        </w:rPr>
        <w:t>Tsenstr</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demokratiyi</w:t>
      </w:r>
      <w:proofErr w:type="spellEnd"/>
      <w:r w:rsidRPr="00237968">
        <w:rPr>
          <w:rFonts w:ascii="Times New Roman" w:hAnsi="Times New Roman" w:cs="Times New Roman"/>
          <w:sz w:val="18"/>
          <w:szCs w:val="18"/>
          <w:lang w:val="en-US"/>
        </w:rPr>
        <w:t xml:space="preserve"> ta </w:t>
      </w:r>
      <w:proofErr w:type="spellStart"/>
      <w:r w:rsidRPr="00237968">
        <w:rPr>
          <w:rFonts w:ascii="Times New Roman" w:hAnsi="Times New Roman" w:cs="Times New Roman"/>
          <w:sz w:val="18"/>
          <w:szCs w:val="18"/>
          <w:lang w:val="en-US"/>
        </w:rPr>
        <w:t>verkhovenstva</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prava</w:t>
      </w:r>
      <w:proofErr w:type="spellEnd"/>
      <w:r w:rsidRPr="00237968">
        <w:rPr>
          <w:rFonts w:ascii="Times New Roman" w:hAnsi="Times New Roman" w:cs="Times New Roman"/>
          <w:sz w:val="18"/>
          <w:szCs w:val="18"/>
          <w:lang w:val="en-US"/>
        </w:rPr>
        <w:t xml:space="preserve"> CEDEM [CEDEM Centre for Democracy and Rule of Law].</w:t>
      </w:r>
      <w:proofErr w:type="gramEnd"/>
      <w:r w:rsidRPr="00237968">
        <w:rPr>
          <w:rFonts w:ascii="Times New Roman" w:hAnsi="Times New Roman" w:cs="Times New Roman"/>
          <w:sz w:val="18"/>
          <w:szCs w:val="18"/>
          <w:lang w:val="en-US"/>
        </w:rPr>
        <w:t xml:space="preserve"> </w:t>
      </w:r>
      <w:proofErr w:type="gramStart"/>
      <w:r w:rsidRPr="00237968">
        <w:rPr>
          <w:rFonts w:ascii="Times New Roman" w:hAnsi="Times New Roman" w:cs="Times New Roman"/>
          <w:sz w:val="18"/>
          <w:szCs w:val="18"/>
          <w:lang w:val="en-US"/>
        </w:rPr>
        <w:t xml:space="preserve">Retrieved from </w:t>
      </w:r>
      <w:hyperlink r:id="rId25" w:history="1">
        <w:r w:rsidRPr="00237968">
          <w:rPr>
            <w:rStyle w:val="Hyperlink"/>
            <w:rFonts w:ascii="Times New Roman" w:hAnsi="Times New Roman" w:cs="Times New Roman"/>
            <w:sz w:val="18"/>
            <w:szCs w:val="18"/>
            <w:lang w:val="en-US"/>
          </w:rPr>
          <w:t>http://cedem.org.ua/analytics/politychna-reklama-obmezhyty-chy-zaboronyty/</w:t>
        </w:r>
      </w:hyperlink>
      <w:r w:rsidRPr="00237968">
        <w:rPr>
          <w:rFonts w:ascii="Times New Roman" w:hAnsi="Times New Roman" w:cs="Times New Roman"/>
          <w:sz w:val="18"/>
          <w:szCs w:val="18"/>
          <w:lang w:val="en-US"/>
        </w:rPr>
        <w:t>.</w:t>
      </w:r>
      <w:proofErr w:type="gramEnd"/>
    </w:p>
    <w:p w:rsidR="00237968" w:rsidRPr="00237968" w:rsidRDefault="00237968" w:rsidP="00237968">
      <w:pPr>
        <w:spacing w:after="120" w:line="240" w:lineRule="auto"/>
        <w:ind w:left="426" w:hanging="426"/>
        <w:jc w:val="both"/>
        <w:rPr>
          <w:rFonts w:ascii="Times New Roman" w:hAnsi="Times New Roman" w:cs="Times New Roman"/>
          <w:sz w:val="18"/>
          <w:szCs w:val="18"/>
          <w:lang w:val="en-US"/>
        </w:rPr>
      </w:pPr>
      <w:proofErr w:type="spellStart"/>
      <w:r w:rsidRPr="00237968">
        <w:rPr>
          <w:rFonts w:ascii="Times New Roman" w:hAnsi="Times New Roman" w:cs="Times New Roman"/>
          <w:sz w:val="18"/>
          <w:szCs w:val="18"/>
          <w:lang w:val="en-US"/>
        </w:rPr>
        <w:t>Taran</w:t>
      </w:r>
      <w:proofErr w:type="spellEnd"/>
      <w:r w:rsidRPr="00237968">
        <w:rPr>
          <w:rFonts w:ascii="Times New Roman" w:hAnsi="Times New Roman" w:cs="Times New Roman"/>
          <w:sz w:val="18"/>
          <w:szCs w:val="18"/>
          <w:lang w:val="en-US"/>
        </w:rPr>
        <w:t xml:space="preserve">, V. (2016, December 16). </w:t>
      </w:r>
      <w:proofErr w:type="spellStart"/>
      <w:r w:rsidRPr="00237968">
        <w:rPr>
          <w:rFonts w:ascii="Times New Roman" w:hAnsi="Times New Roman" w:cs="Times New Roman"/>
          <w:sz w:val="18"/>
          <w:szCs w:val="18"/>
          <w:lang w:val="en-US"/>
        </w:rPr>
        <w:t>Iaki</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zminy</w:t>
      </w:r>
      <w:proofErr w:type="spellEnd"/>
      <w:r w:rsidRPr="00237968">
        <w:rPr>
          <w:rFonts w:ascii="Times New Roman" w:hAnsi="Times New Roman" w:cs="Times New Roman"/>
          <w:sz w:val="18"/>
          <w:szCs w:val="18"/>
          <w:lang w:val="en-US"/>
        </w:rPr>
        <w:t xml:space="preserve"> u </w:t>
      </w:r>
      <w:proofErr w:type="spellStart"/>
      <w:r w:rsidRPr="00237968">
        <w:rPr>
          <w:rFonts w:ascii="Times New Roman" w:hAnsi="Times New Roman" w:cs="Times New Roman"/>
          <w:sz w:val="18"/>
          <w:szCs w:val="18"/>
          <w:lang w:val="en-US"/>
        </w:rPr>
        <w:t>finansovykh</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dokumentakh</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partii</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stalys</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za</w:t>
      </w:r>
      <w:proofErr w:type="spellEnd"/>
      <w:r w:rsidRPr="00237968">
        <w:rPr>
          <w:rFonts w:ascii="Times New Roman" w:hAnsi="Times New Roman" w:cs="Times New Roman"/>
          <w:sz w:val="18"/>
          <w:szCs w:val="18"/>
          <w:lang w:val="en-US"/>
        </w:rPr>
        <w:t xml:space="preserve"> try </w:t>
      </w:r>
      <w:proofErr w:type="spellStart"/>
      <w:r w:rsidRPr="00237968">
        <w:rPr>
          <w:rFonts w:ascii="Times New Roman" w:hAnsi="Times New Roman" w:cs="Times New Roman"/>
          <w:sz w:val="18"/>
          <w:szCs w:val="18"/>
          <w:lang w:val="en-US"/>
        </w:rPr>
        <w:t>khvyli</w:t>
      </w:r>
      <w:proofErr w:type="spellEnd"/>
      <w:r w:rsidRPr="00237968">
        <w:rPr>
          <w:rFonts w:ascii="Times New Roman" w:hAnsi="Times New Roman" w:cs="Times New Roman"/>
          <w:sz w:val="18"/>
          <w:szCs w:val="18"/>
          <w:lang w:val="en-US"/>
        </w:rPr>
        <w:t xml:space="preserve"> </w:t>
      </w:r>
      <w:proofErr w:type="spellStart"/>
      <w:r w:rsidRPr="00237968">
        <w:rPr>
          <w:rFonts w:ascii="Times New Roman" w:hAnsi="Times New Roman" w:cs="Times New Roman"/>
          <w:sz w:val="18"/>
          <w:szCs w:val="18"/>
          <w:lang w:val="en-US"/>
        </w:rPr>
        <w:t>zvituvannia</w:t>
      </w:r>
      <w:proofErr w:type="spellEnd"/>
      <w:r w:rsidRPr="00237968">
        <w:rPr>
          <w:rFonts w:ascii="Times New Roman" w:hAnsi="Times New Roman" w:cs="Times New Roman"/>
          <w:sz w:val="18"/>
          <w:szCs w:val="18"/>
          <w:lang w:val="en-US"/>
        </w:rPr>
        <w:t xml:space="preserve"> [What changes in parties’ financial documents have happened during three waves of reporting]. </w:t>
      </w:r>
      <w:r w:rsidRPr="00237968">
        <w:rPr>
          <w:rFonts w:ascii="Times New Roman" w:hAnsi="Times New Roman" w:cs="Times New Roman"/>
          <w:i/>
          <w:sz w:val="18"/>
          <w:szCs w:val="18"/>
          <w:lang w:val="en-US"/>
        </w:rPr>
        <w:t>LB.ua</w:t>
      </w:r>
      <w:r w:rsidRPr="00237968">
        <w:rPr>
          <w:rFonts w:ascii="Times New Roman" w:hAnsi="Times New Roman" w:cs="Times New Roman"/>
          <w:sz w:val="18"/>
          <w:szCs w:val="18"/>
          <w:lang w:val="en-US"/>
        </w:rPr>
        <w:t xml:space="preserve">. Retrieved from </w:t>
      </w:r>
      <w:hyperlink r:id="rId26" w:history="1">
        <w:r w:rsidRPr="00237968">
          <w:rPr>
            <w:rStyle w:val="Hyperlink"/>
            <w:rFonts w:ascii="Times New Roman" w:hAnsi="Times New Roman" w:cs="Times New Roman"/>
            <w:sz w:val="18"/>
            <w:szCs w:val="18"/>
            <w:lang w:val="en-US"/>
          </w:rPr>
          <w:t>https://lb.ua/blog/victor_taran/353665_yaki_zmini_finansovih_dokumentah.html</w:t>
        </w:r>
      </w:hyperlink>
      <w:r w:rsidRPr="00237968">
        <w:rPr>
          <w:rFonts w:ascii="Times New Roman" w:hAnsi="Times New Roman" w:cs="Times New Roman"/>
          <w:sz w:val="18"/>
          <w:szCs w:val="18"/>
          <w:lang w:val="en-US"/>
        </w:rPr>
        <w:t>.</w:t>
      </w:r>
    </w:p>
    <w:p w:rsidR="004F1C63" w:rsidRPr="00174674" w:rsidRDefault="004F1C63" w:rsidP="00C03A08">
      <w:pPr>
        <w:spacing w:after="120" w:line="240" w:lineRule="auto"/>
        <w:ind w:firstLine="426"/>
        <w:jc w:val="both"/>
        <w:rPr>
          <w:rFonts w:ascii="Times New Roman" w:hAnsi="Times New Roman" w:cs="Times New Roman"/>
          <w:sz w:val="24"/>
          <w:lang w:val="en-US"/>
        </w:rPr>
      </w:pPr>
    </w:p>
    <w:p w:rsidR="00237968" w:rsidRPr="00237968" w:rsidRDefault="00237968" w:rsidP="009420ED">
      <w:pPr>
        <w:spacing w:after="120" w:line="240" w:lineRule="auto"/>
        <w:ind w:left="426" w:hanging="426"/>
        <w:jc w:val="both"/>
        <w:rPr>
          <w:rFonts w:ascii="Times New Roman" w:hAnsi="Times New Roman" w:cs="Times New Roman"/>
          <w:sz w:val="18"/>
          <w:szCs w:val="18"/>
          <w:lang w:val="en-US"/>
        </w:rPr>
      </w:pPr>
    </w:p>
    <w:p w:rsidR="00237968" w:rsidRPr="00237968" w:rsidRDefault="00237968" w:rsidP="009420ED">
      <w:pPr>
        <w:spacing w:after="120" w:line="240" w:lineRule="auto"/>
        <w:ind w:left="426" w:hanging="426"/>
        <w:jc w:val="both"/>
        <w:rPr>
          <w:rFonts w:ascii="Times New Roman" w:hAnsi="Times New Roman" w:cs="Times New Roman"/>
          <w:sz w:val="18"/>
          <w:szCs w:val="18"/>
          <w:lang w:val="en-US"/>
        </w:rPr>
      </w:pPr>
    </w:p>
    <w:p w:rsidR="00237968" w:rsidRDefault="00237968" w:rsidP="009420ED">
      <w:pPr>
        <w:spacing w:after="120" w:line="240" w:lineRule="auto"/>
        <w:ind w:left="426" w:hanging="426"/>
        <w:jc w:val="both"/>
        <w:rPr>
          <w:rFonts w:ascii="Times New Roman" w:hAnsi="Times New Roman" w:cs="Times New Roman"/>
          <w:sz w:val="24"/>
          <w:lang w:val="en-US"/>
        </w:rPr>
      </w:pPr>
    </w:p>
    <w:p w:rsidR="00237968" w:rsidRDefault="00237968" w:rsidP="009420ED">
      <w:pPr>
        <w:spacing w:after="120" w:line="240" w:lineRule="auto"/>
        <w:ind w:left="426" w:hanging="426"/>
        <w:jc w:val="both"/>
        <w:rPr>
          <w:rFonts w:ascii="Times New Roman" w:hAnsi="Times New Roman" w:cs="Times New Roman"/>
          <w:sz w:val="24"/>
          <w:lang w:val="en-US"/>
        </w:rPr>
      </w:pPr>
    </w:p>
    <w:p w:rsidR="00237968" w:rsidRDefault="00237968" w:rsidP="009420ED">
      <w:pPr>
        <w:spacing w:after="120" w:line="240" w:lineRule="auto"/>
        <w:ind w:left="426" w:hanging="426"/>
        <w:jc w:val="both"/>
        <w:rPr>
          <w:rFonts w:ascii="Times New Roman" w:hAnsi="Times New Roman" w:cs="Times New Roman"/>
          <w:sz w:val="24"/>
          <w:lang w:val="en-US"/>
        </w:rPr>
      </w:pPr>
    </w:p>
    <w:p w:rsidR="00237968" w:rsidRDefault="00237968" w:rsidP="009420ED">
      <w:pPr>
        <w:spacing w:after="120" w:line="240" w:lineRule="auto"/>
        <w:ind w:left="426" w:hanging="426"/>
        <w:jc w:val="both"/>
        <w:rPr>
          <w:rFonts w:ascii="Times New Roman" w:hAnsi="Times New Roman" w:cs="Times New Roman"/>
          <w:sz w:val="24"/>
          <w:lang w:val="en-US"/>
        </w:rPr>
      </w:pPr>
    </w:p>
    <w:p w:rsidR="00237968" w:rsidRPr="00174674" w:rsidRDefault="00237968" w:rsidP="009420ED">
      <w:pPr>
        <w:spacing w:after="120" w:line="240" w:lineRule="auto"/>
        <w:ind w:left="426" w:hanging="426"/>
        <w:jc w:val="both"/>
        <w:rPr>
          <w:rFonts w:ascii="Times New Roman" w:hAnsi="Times New Roman" w:cs="Times New Roman"/>
          <w:sz w:val="24"/>
          <w:lang w:val="uk-UA"/>
        </w:rPr>
      </w:pPr>
    </w:p>
    <w:p w:rsidR="009420ED" w:rsidRDefault="009420ED"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A43788" w:rsidRDefault="00A43788" w:rsidP="00C03A08">
      <w:pPr>
        <w:spacing w:after="120" w:line="240" w:lineRule="auto"/>
        <w:ind w:firstLine="426"/>
        <w:jc w:val="both"/>
        <w:rPr>
          <w:sz w:val="24"/>
          <w:lang w:val="en-US"/>
        </w:rPr>
      </w:pPr>
    </w:p>
    <w:p w:rsidR="00613370" w:rsidRPr="006D4ED7" w:rsidRDefault="00613370" w:rsidP="006D4ED7">
      <w:pPr>
        <w:spacing w:after="120" w:line="240" w:lineRule="auto"/>
        <w:jc w:val="both"/>
        <w:rPr>
          <w:rFonts w:ascii="Sylfaen" w:hAnsi="Sylfaen"/>
          <w:sz w:val="24"/>
          <w:lang w:val="ka-GE"/>
        </w:rPr>
      </w:pPr>
    </w:p>
    <w:p w:rsidR="00613370" w:rsidRDefault="00613370" w:rsidP="00C03A08">
      <w:pPr>
        <w:spacing w:after="120" w:line="240" w:lineRule="auto"/>
        <w:ind w:firstLine="426"/>
        <w:jc w:val="both"/>
        <w:rPr>
          <w:rFonts w:ascii="Sylfaen" w:hAnsi="Sylfaen"/>
          <w:sz w:val="24"/>
          <w:lang w:val="ka-GE"/>
        </w:rPr>
      </w:pPr>
    </w:p>
    <w:p w:rsidR="00743BE4" w:rsidRDefault="00743BE4" w:rsidP="00C03A08">
      <w:pPr>
        <w:spacing w:after="120" w:line="240" w:lineRule="auto"/>
        <w:ind w:firstLine="426"/>
        <w:jc w:val="both"/>
        <w:rPr>
          <w:rFonts w:ascii="Sylfaen" w:hAnsi="Sylfaen"/>
          <w:sz w:val="24"/>
          <w:lang w:val="ka-GE"/>
        </w:rPr>
      </w:pPr>
    </w:p>
    <w:p w:rsidR="00743BE4" w:rsidRDefault="00743BE4" w:rsidP="00C03A08">
      <w:pPr>
        <w:spacing w:after="120" w:line="240" w:lineRule="auto"/>
        <w:ind w:firstLine="426"/>
        <w:jc w:val="both"/>
        <w:rPr>
          <w:rFonts w:ascii="Sylfaen" w:hAnsi="Sylfaen"/>
          <w:sz w:val="24"/>
          <w:lang w:val="ka-GE"/>
        </w:rPr>
      </w:pPr>
    </w:p>
    <w:p w:rsidR="00743BE4" w:rsidRDefault="00743BE4" w:rsidP="00C03A08">
      <w:pPr>
        <w:spacing w:after="120" w:line="240" w:lineRule="auto"/>
        <w:ind w:firstLine="426"/>
        <w:jc w:val="both"/>
        <w:rPr>
          <w:rFonts w:ascii="Sylfaen" w:hAnsi="Sylfaen"/>
          <w:sz w:val="24"/>
          <w:lang w:val="ka-GE"/>
        </w:rPr>
      </w:pPr>
    </w:p>
    <w:p w:rsidR="00743BE4" w:rsidRDefault="00743BE4" w:rsidP="00C03A08">
      <w:pPr>
        <w:spacing w:after="120" w:line="240" w:lineRule="auto"/>
        <w:ind w:firstLine="426"/>
        <w:jc w:val="both"/>
        <w:rPr>
          <w:rFonts w:ascii="Sylfaen" w:hAnsi="Sylfaen"/>
          <w:sz w:val="24"/>
          <w:lang w:val="ka-GE"/>
        </w:rPr>
      </w:pPr>
    </w:p>
    <w:p w:rsidR="00743BE4" w:rsidRPr="00743BE4" w:rsidRDefault="00743BE4" w:rsidP="00C03A08">
      <w:pPr>
        <w:spacing w:after="120" w:line="240" w:lineRule="auto"/>
        <w:ind w:firstLine="426"/>
        <w:jc w:val="both"/>
        <w:rPr>
          <w:rFonts w:ascii="Sylfaen" w:hAnsi="Sylfaen"/>
          <w:sz w:val="24"/>
          <w:lang w:val="ka-GE"/>
        </w:rPr>
      </w:pPr>
      <w:bookmarkStart w:id="0" w:name="_GoBack"/>
      <w:bookmarkEnd w:id="0"/>
    </w:p>
    <w:p w:rsidR="00237968" w:rsidRDefault="00237968" w:rsidP="00C03A08">
      <w:pPr>
        <w:spacing w:after="120" w:line="240" w:lineRule="auto"/>
        <w:ind w:firstLine="426"/>
        <w:jc w:val="both"/>
        <w:rPr>
          <w:sz w:val="24"/>
          <w:lang w:val="en-US"/>
        </w:rPr>
      </w:pPr>
    </w:p>
    <w:p w:rsidR="004F1C63" w:rsidRDefault="004F1C63" w:rsidP="00C03A08">
      <w:pPr>
        <w:spacing w:after="120" w:line="240" w:lineRule="auto"/>
        <w:ind w:firstLine="426"/>
        <w:jc w:val="both"/>
        <w:rPr>
          <w:sz w:val="24"/>
          <w:lang w:val="en-US"/>
        </w:rPr>
      </w:pPr>
    </w:p>
    <w:p w:rsidR="00613370" w:rsidRPr="00084DD7" w:rsidRDefault="00613370" w:rsidP="00613370">
      <w:pPr>
        <w:tabs>
          <w:tab w:val="center" w:pos="4230"/>
          <w:tab w:val="right" w:pos="9810"/>
        </w:tabs>
        <w:ind w:right="-572" w:hanging="360"/>
        <w:rPr>
          <w:rFonts w:eastAsia="Times New Roman" w:cs="Times New Roman"/>
          <w:b/>
          <w:noProof/>
          <w:snapToGrid w:val="0"/>
          <w:szCs w:val="20"/>
        </w:rPr>
      </w:pPr>
      <w:r>
        <w:rPr>
          <w:rFonts w:eastAsia="Times New Roman" w:cs="Times New Roman"/>
          <w:b/>
          <w:noProof/>
          <w:szCs w:val="20"/>
          <w:lang w:val="en-GB" w:eastAsia="en-GB"/>
        </w:rPr>
        <w:drawing>
          <wp:inline distT="0" distB="0" distL="0" distR="0" wp14:anchorId="1B8C8952" wp14:editId="797CCDE0">
            <wp:extent cx="2085975" cy="809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5975" cy="809625"/>
                    </a:xfrm>
                    <a:prstGeom prst="rect">
                      <a:avLst/>
                    </a:prstGeom>
                    <a:noFill/>
                    <a:ln>
                      <a:noFill/>
                    </a:ln>
                  </pic:spPr>
                </pic:pic>
              </a:graphicData>
            </a:graphic>
          </wp:inline>
        </w:drawing>
      </w:r>
      <w:r>
        <w:rPr>
          <w:rFonts w:eastAsia="Times New Roman" w:cs="Times New Roman"/>
          <w:noProof/>
          <w:szCs w:val="20"/>
          <w:lang w:val="en-GB" w:eastAsia="en-GB"/>
        </w:rPr>
        <w:drawing>
          <wp:inline distT="0" distB="0" distL="0" distR="0" wp14:anchorId="43F30854" wp14:editId="5D936564">
            <wp:extent cx="2438400" cy="819150"/>
            <wp:effectExtent l="0" t="0" r="0" b="0"/>
            <wp:docPr id="8" name="Picture 8"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r>
        <w:rPr>
          <w:b/>
          <w:noProof/>
          <w:lang w:val="en-GB" w:eastAsia="en-GB"/>
        </w:rPr>
        <w:drawing>
          <wp:inline distT="0" distB="0" distL="0" distR="0" wp14:anchorId="7AA59639" wp14:editId="3D81144D">
            <wp:extent cx="1981200" cy="542925"/>
            <wp:effectExtent l="0" t="0" r="0" b="0"/>
            <wp:docPr id="7" name="Picture 7" descr="download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TI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p>
    <w:p w:rsidR="00613370" w:rsidRPr="00771444" w:rsidRDefault="00613370" w:rsidP="00613370">
      <w:pPr>
        <w:tabs>
          <w:tab w:val="center" w:pos="4230"/>
          <w:tab w:val="right" w:pos="9810"/>
        </w:tabs>
        <w:ind w:right="-572" w:hanging="166"/>
        <w:rPr>
          <w:rFonts w:eastAsia="Times New Roman" w:cs="Times New Roman"/>
          <w:b/>
          <w:snapToGrid w:val="0"/>
          <w:szCs w:val="20"/>
        </w:rPr>
      </w:pPr>
      <w:r>
        <w:rPr>
          <w:rFonts w:eastAsia="Times New Roman" w:cs="Times New Roman"/>
          <w:b/>
          <w:noProof/>
          <w:szCs w:val="20"/>
          <w:lang w:val="en-GB" w:eastAsia="en-GB"/>
        </w:rPr>
        <w:drawing>
          <wp:inline distT="0" distB="0" distL="0" distR="0" wp14:anchorId="1BF490BC" wp14:editId="10615012">
            <wp:extent cx="952500" cy="762000"/>
            <wp:effectExtent l="0" t="0" r="0" b="0"/>
            <wp:docPr id="6" name="Picture 6" descr="Description: https://pbs.twimg.com/profile_images/508345080625631232/o-vbVfo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pbs.twimg.com/profile_images/508345080625631232/o-vbVfo4.jpeg"/>
                    <pic:cNvPicPr>
                      <a:picLocks noChangeAspect="1" noChangeArrowheads="1"/>
                    </pic:cNvPicPr>
                  </pic:nvPicPr>
                  <pic:blipFill>
                    <a:blip r:embed="rId30" cstate="print">
                      <a:extLst>
                        <a:ext uri="{28A0092B-C50C-407E-A947-70E740481C1C}">
                          <a14:useLocalDpi xmlns:a14="http://schemas.microsoft.com/office/drawing/2010/main" val="0"/>
                        </a:ext>
                      </a:extLst>
                    </a:blip>
                    <a:srcRect l="7547" t="14151" r="5659" b="14151"/>
                    <a:stretch>
                      <a:fillRect/>
                    </a:stretch>
                  </pic:blipFill>
                  <pic:spPr bwMode="auto">
                    <a:xfrm>
                      <a:off x="0" y="0"/>
                      <a:ext cx="952500" cy="762000"/>
                    </a:xfrm>
                    <a:prstGeom prst="rect">
                      <a:avLst/>
                    </a:prstGeom>
                    <a:noFill/>
                    <a:ln>
                      <a:noFill/>
                    </a:ln>
                  </pic:spPr>
                </pic:pic>
              </a:graphicData>
            </a:graphic>
          </wp:inline>
        </w:drawing>
      </w:r>
      <w:r w:rsidRPr="00084DD7">
        <w:rPr>
          <w:rFonts w:eastAsia="Times New Roman" w:cs="Times New Roman"/>
          <w:b/>
          <w:noProof/>
          <w:snapToGrid w:val="0"/>
          <w:szCs w:val="20"/>
        </w:rPr>
        <w:t xml:space="preserve">          </w:t>
      </w:r>
      <w:r>
        <w:rPr>
          <w:rFonts w:eastAsia="Times New Roman" w:cs="Times New Roman"/>
          <w:b/>
          <w:noProof/>
          <w:szCs w:val="20"/>
          <w:lang w:val="en-GB" w:eastAsia="en-GB"/>
        </w:rPr>
        <w:drawing>
          <wp:inline distT="0" distB="0" distL="0" distR="0" wp14:anchorId="004978DE" wp14:editId="1DAE8437">
            <wp:extent cx="933450" cy="762000"/>
            <wp:effectExtent l="0" t="0" r="0" b="0"/>
            <wp:docPr id="5" name="Picture 5" descr="Description: http://www.netgazeti.ge/images/cms-image-000034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descr="Description: http://www.netgazeti.ge/images/cms-image-00003437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r w:rsidRPr="00084DD7">
        <w:rPr>
          <w:rFonts w:eastAsia="Times New Roman" w:cs="Times New Roman"/>
          <w:b/>
          <w:noProof/>
          <w:snapToGrid w:val="0"/>
          <w:szCs w:val="20"/>
        </w:rPr>
        <w:t xml:space="preserve">             </w:t>
      </w:r>
      <w:r>
        <w:rPr>
          <w:rFonts w:ascii="Sylfaen" w:eastAsia="Times New Roman" w:hAnsi="Sylfaen" w:cs="Times New Roman"/>
          <w:b/>
          <w:smallCaps/>
          <w:noProof/>
          <w:color w:val="002060"/>
          <w:szCs w:val="40"/>
          <w:lang w:val="en-GB" w:eastAsia="en-GB"/>
        </w:rPr>
        <w:drawing>
          <wp:inline distT="0" distB="0" distL="0" distR="0" wp14:anchorId="4B12E1DC" wp14:editId="2E6F9FC5">
            <wp:extent cx="809625" cy="800100"/>
            <wp:effectExtent l="0" t="0" r="0" b="0"/>
            <wp:docPr id="4" name="Picture 4" descr="Description: C:\Users\zaznaurashvili\Desktop\ლოგო-ax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zaznaurashvili\Desktop\ლოგო-axali.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r w:rsidRPr="00084DD7">
        <w:rPr>
          <w:rFonts w:eastAsia="Times New Roman" w:cs="Times New Roman"/>
          <w:b/>
          <w:noProof/>
          <w:snapToGrid w:val="0"/>
          <w:szCs w:val="20"/>
        </w:rPr>
        <w:t xml:space="preserve">                 </w:t>
      </w:r>
      <w:r>
        <w:rPr>
          <w:rFonts w:eastAsia="Times New Roman" w:cs="Times New Roman"/>
          <w:b/>
          <w:noProof/>
          <w:szCs w:val="20"/>
          <w:lang w:val="en-GB" w:eastAsia="en-GB"/>
        </w:rPr>
        <w:drawing>
          <wp:inline distT="0" distB="0" distL="0" distR="0" wp14:anchorId="0B512329" wp14:editId="42BE8029">
            <wp:extent cx="723900" cy="714375"/>
            <wp:effectExtent l="0" t="0" r="0" b="0"/>
            <wp:docPr id="3" name="Picture 3" descr="Description: http://www.asef.org/images/stories/partners/270-International%20I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Description: http://www.asef.org/images/stories/partners/270-International%20Idea.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r w:rsidRPr="00084DD7">
        <w:rPr>
          <w:rFonts w:eastAsia="Times New Roman" w:cs="Times New Roman"/>
          <w:b/>
          <w:noProof/>
          <w:snapToGrid w:val="0"/>
        </w:rPr>
        <w:t xml:space="preserve">              </w:t>
      </w:r>
      <w:r>
        <w:rPr>
          <w:rFonts w:eastAsia="Times New Roman" w:cs="Times New Roman"/>
          <w:b/>
          <w:noProof/>
          <w:lang w:val="en-GB" w:eastAsia="en-GB"/>
        </w:rPr>
        <w:drawing>
          <wp:inline distT="0" distB="0" distL="0" distR="0" wp14:anchorId="21477B70" wp14:editId="4E5749A9">
            <wp:extent cx="819150" cy="819150"/>
            <wp:effectExtent l="0" t="0" r="0" b="0"/>
            <wp:docPr id="2" name="Picture 2" descr="Description: C:\Users\zaznaurashvili\Desktop\Blu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zaznaurashvili\Desktop\Blue PNG.PNG"/>
                    <pic:cNvPicPr>
                      <a:picLocks noChangeAspect="1" noChangeArrowheads="1"/>
                    </pic:cNvPicPr>
                  </pic:nvPicPr>
                  <pic:blipFill>
                    <a:blip r:embed="rId34" cstate="print">
                      <a:extLst>
                        <a:ext uri="{28A0092B-C50C-407E-A947-70E740481C1C}">
                          <a14:useLocalDpi xmlns:a14="http://schemas.microsoft.com/office/drawing/2010/main" val="0"/>
                        </a:ext>
                      </a:extLst>
                    </a:blip>
                    <a:srcRect l="10838" t="10863" r="12315" b="12115"/>
                    <a:stretch>
                      <a:fillRect/>
                    </a:stretch>
                  </pic:blipFill>
                  <pic:spPr bwMode="auto">
                    <a:xfrm>
                      <a:off x="0" y="0"/>
                      <a:ext cx="819150" cy="819150"/>
                    </a:xfrm>
                    <a:prstGeom prst="rect">
                      <a:avLst/>
                    </a:prstGeom>
                    <a:noFill/>
                    <a:ln>
                      <a:noFill/>
                    </a:ln>
                  </pic:spPr>
                </pic:pic>
              </a:graphicData>
            </a:graphic>
          </wp:inline>
        </w:drawing>
      </w:r>
    </w:p>
    <w:p w:rsidR="00613370" w:rsidRPr="004F1C63" w:rsidRDefault="00613370" w:rsidP="00C03A08">
      <w:pPr>
        <w:spacing w:after="120" w:line="240" w:lineRule="auto"/>
        <w:ind w:firstLine="426"/>
        <w:jc w:val="both"/>
        <w:rPr>
          <w:sz w:val="24"/>
          <w:lang w:val="en-US"/>
        </w:rPr>
      </w:pPr>
    </w:p>
    <w:sectPr w:rsidR="00613370" w:rsidRPr="004F1C63" w:rsidSect="001746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F3" w:rsidRDefault="005315F3" w:rsidP="00156929">
      <w:pPr>
        <w:spacing w:after="0" w:line="240" w:lineRule="auto"/>
      </w:pPr>
      <w:r>
        <w:separator/>
      </w:r>
    </w:p>
  </w:endnote>
  <w:endnote w:type="continuationSeparator" w:id="0">
    <w:p w:rsidR="005315F3" w:rsidRDefault="005315F3" w:rsidP="0015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F3" w:rsidRDefault="005315F3" w:rsidP="00156929">
      <w:pPr>
        <w:spacing w:after="0" w:line="240" w:lineRule="auto"/>
      </w:pPr>
      <w:r>
        <w:separator/>
      </w:r>
    </w:p>
  </w:footnote>
  <w:footnote w:type="continuationSeparator" w:id="0">
    <w:p w:rsidR="005315F3" w:rsidRDefault="005315F3" w:rsidP="00156929">
      <w:pPr>
        <w:spacing w:after="0" w:line="240" w:lineRule="auto"/>
      </w:pPr>
      <w:r>
        <w:continuationSeparator/>
      </w:r>
    </w:p>
  </w:footnote>
  <w:footnote w:id="1">
    <w:p w:rsidR="00237968" w:rsidRPr="00174674" w:rsidRDefault="00237968" w:rsidP="00237968">
      <w:pPr>
        <w:contextualSpacing/>
        <w:rPr>
          <w:rFonts w:ascii="Times New Roman" w:eastAsia="Times New Roman" w:hAnsi="Times New Roman" w:cs="Times New Roman"/>
          <w:color w:val="000000"/>
          <w:sz w:val="20"/>
          <w:szCs w:val="20"/>
          <w:lang w:val="en-US"/>
        </w:rPr>
      </w:pPr>
      <w:r w:rsidRPr="00174674">
        <w:rPr>
          <w:rStyle w:val="FootnoteReference"/>
          <w:rFonts w:ascii="Times New Roman" w:hAnsi="Times New Roman" w:cs="Times New Roman"/>
          <w:sz w:val="20"/>
          <w:szCs w:val="20"/>
        </w:rPr>
        <w:footnoteRef/>
      </w:r>
      <w:r w:rsidRPr="00174674">
        <w:rPr>
          <w:rFonts w:ascii="Times New Roman" w:hAnsi="Times New Roman" w:cs="Times New Roman"/>
          <w:sz w:val="20"/>
          <w:szCs w:val="20"/>
          <w:lang w:val="en-US"/>
        </w:rPr>
        <w:t xml:space="preserve"> </w:t>
      </w:r>
      <w:r w:rsidRPr="00174674">
        <w:rPr>
          <w:rFonts w:ascii="Times New Roman" w:eastAsia="Times New Roman" w:hAnsi="Times New Roman" w:cs="Times New Roman"/>
          <w:color w:val="000000"/>
          <w:sz w:val="20"/>
          <w:szCs w:val="20"/>
          <w:lang w:val="en-US"/>
        </w:rPr>
        <w:t xml:space="preserve">Disclaimer: The views and opinions expressed in this report  are those of the author and do not necessarily reflect   </w:t>
      </w:r>
    </w:p>
    <w:p w:rsidR="00237968" w:rsidRPr="00174674" w:rsidRDefault="00237968" w:rsidP="00237968">
      <w:pPr>
        <w:contextualSpacing/>
        <w:rPr>
          <w:rFonts w:ascii="Times New Roman" w:eastAsia="Times New Roman" w:hAnsi="Times New Roman" w:cs="Times New Roman"/>
          <w:color w:val="000000"/>
          <w:sz w:val="20"/>
          <w:szCs w:val="20"/>
          <w:lang w:val="en-US"/>
        </w:rPr>
      </w:pPr>
      <w:r w:rsidRPr="00174674">
        <w:rPr>
          <w:rFonts w:ascii="Times New Roman" w:eastAsia="Times New Roman" w:hAnsi="Times New Roman" w:cs="Times New Roman"/>
          <w:color w:val="000000"/>
          <w:sz w:val="20"/>
          <w:szCs w:val="20"/>
          <w:lang w:val="en-US"/>
        </w:rPr>
        <w:t xml:space="preserve">  the official policy or position of SAOG, Council of Europe, International IDEA, IFES, NIMD,</w:t>
      </w:r>
      <w:r>
        <w:rPr>
          <w:rFonts w:ascii="Times New Roman" w:eastAsia="Times New Roman" w:hAnsi="Times New Roman" w:cs="Times New Roman"/>
          <w:color w:val="000000"/>
          <w:sz w:val="20"/>
          <w:szCs w:val="20"/>
          <w:lang w:val="en-US"/>
        </w:rPr>
        <w:t xml:space="preserve"> </w:t>
      </w:r>
      <w:r w:rsidRPr="00174674">
        <w:rPr>
          <w:rFonts w:ascii="Times New Roman" w:eastAsia="Times New Roman" w:hAnsi="Times New Roman" w:cs="Times New Roman"/>
          <w:color w:val="000000"/>
          <w:sz w:val="20"/>
          <w:szCs w:val="20"/>
          <w:lang w:val="en-US"/>
        </w:rPr>
        <w:t xml:space="preserve">OSCE-ODIHR, </w:t>
      </w:r>
      <w:r>
        <w:rPr>
          <w:rFonts w:ascii="Times New Roman" w:eastAsia="Times New Roman" w:hAnsi="Times New Roman" w:cs="Times New Roman"/>
          <w:color w:val="000000"/>
          <w:sz w:val="20"/>
          <w:szCs w:val="20"/>
          <w:lang w:val="en-US"/>
        </w:rPr>
        <w:t xml:space="preserve">or </w:t>
      </w:r>
      <w:r w:rsidRPr="00174674">
        <w:rPr>
          <w:rFonts w:ascii="Times New Roman" w:eastAsia="Times New Roman" w:hAnsi="Times New Roman" w:cs="Times New Roman"/>
          <w:color w:val="000000"/>
          <w:sz w:val="20"/>
          <w:szCs w:val="20"/>
          <w:lang w:val="en-US"/>
        </w:rPr>
        <w:t>TI Georgia.</w:t>
      </w:r>
    </w:p>
    <w:p w:rsidR="00237968" w:rsidRPr="00174674" w:rsidRDefault="00237968" w:rsidP="00237968">
      <w:pPr>
        <w:pStyle w:val="FootnoteText"/>
        <w:rPr>
          <w:rFonts w:ascii="Times New Roman" w:hAnsi="Times New Roman" w:cs="Times New Roman"/>
          <w:lang w:val="en-US"/>
        </w:rPr>
      </w:pPr>
    </w:p>
  </w:footnote>
  <w:footnote w:id="2">
    <w:p w:rsidR="00D7096F" w:rsidRPr="00174674" w:rsidRDefault="00D7096F" w:rsidP="00B86176">
      <w:pPr>
        <w:pStyle w:val="FootnoteText"/>
        <w:jc w:val="both"/>
        <w:rPr>
          <w:rFonts w:ascii="Times New Roman" w:hAnsi="Times New Roman" w:cs="Times New Roman"/>
          <w:lang w:val="en-US"/>
        </w:rPr>
      </w:pPr>
      <w:r w:rsidRPr="00174674">
        <w:rPr>
          <w:rStyle w:val="FootnoteReference"/>
          <w:rFonts w:ascii="Times New Roman" w:hAnsi="Times New Roman" w:cs="Times New Roman"/>
        </w:rPr>
        <w:footnoteRef/>
      </w:r>
      <w:r w:rsidRPr="00174674">
        <w:rPr>
          <w:rFonts w:ascii="Times New Roman" w:hAnsi="Times New Roman" w:cs="Times New Roman"/>
          <w:lang w:val="en-US"/>
        </w:rPr>
        <w:t xml:space="preserve"> OSCE/ODIHR </w:t>
      </w:r>
      <w:r w:rsidR="009420ED" w:rsidRPr="00174674">
        <w:rPr>
          <w:rFonts w:ascii="Times New Roman" w:hAnsi="Times New Roman" w:cs="Times New Roman"/>
          <w:lang w:val="en-US"/>
        </w:rPr>
        <w:t xml:space="preserve">and the Venice Commission </w:t>
      </w:r>
      <w:r w:rsidRPr="00174674">
        <w:rPr>
          <w:rFonts w:ascii="Times New Roman" w:hAnsi="Times New Roman" w:cs="Times New Roman"/>
          <w:lang w:val="en-US"/>
        </w:rPr>
        <w:t xml:space="preserve">evaluated the preliminary draft of the law, and some of its recommendations were incorporated into </w:t>
      </w:r>
      <w:r w:rsidR="00DF6C47" w:rsidRPr="00174674">
        <w:rPr>
          <w:rFonts w:ascii="Times New Roman" w:hAnsi="Times New Roman" w:cs="Times New Roman"/>
          <w:lang w:val="en-US"/>
        </w:rPr>
        <w:t xml:space="preserve">the </w:t>
      </w:r>
      <w:r w:rsidRPr="00174674">
        <w:rPr>
          <w:rFonts w:ascii="Times New Roman" w:hAnsi="Times New Roman" w:cs="Times New Roman"/>
          <w:lang w:val="en-US"/>
        </w:rPr>
        <w:t>final version</w:t>
      </w:r>
      <w:r w:rsidR="00DF6C47" w:rsidRPr="00174674">
        <w:rPr>
          <w:rFonts w:ascii="Times New Roman" w:hAnsi="Times New Roman" w:cs="Times New Roman"/>
          <w:lang w:val="en-US"/>
        </w:rPr>
        <w:t xml:space="preserve"> of the bill</w:t>
      </w:r>
      <w:r w:rsidRPr="00174674">
        <w:rPr>
          <w:rFonts w:ascii="Times New Roman" w:hAnsi="Times New Roman" w:cs="Times New Roman"/>
          <w:lang w:val="en-US"/>
        </w:rPr>
        <w:t>.</w:t>
      </w:r>
    </w:p>
  </w:footnote>
  <w:footnote w:id="3">
    <w:p w:rsidR="00156929" w:rsidRPr="00174674" w:rsidRDefault="00156929" w:rsidP="00B86176">
      <w:pPr>
        <w:pStyle w:val="FootnoteText"/>
        <w:jc w:val="both"/>
        <w:rPr>
          <w:rFonts w:ascii="Times New Roman" w:hAnsi="Times New Roman" w:cs="Times New Roman"/>
          <w:lang w:val="en-US"/>
        </w:rPr>
      </w:pPr>
      <w:r w:rsidRPr="00174674">
        <w:rPr>
          <w:rStyle w:val="FootnoteReference"/>
          <w:rFonts w:ascii="Times New Roman" w:hAnsi="Times New Roman" w:cs="Times New Roman"/>
        </w:rPr>
        <w:footnoteRef/>
      </w:r>
      <w:r w:rsidRPr="00174674">
        <w:rPr>
          <w:rFonts w:ascii="Times New Roman" w:hAnsi="Times New Roman" w:cs="Times New Roman"/>
          <w:lang w:val="en-US"/>
        </w:rPr>
        <w:t xml:space="preserve"> Direct public funding was first established in </w:t>
      </w:r>
      <w:r w:rsidR="00AB4616" w:rsidRPr="00174674">
        <w:rPr>
          <w:rFonts w:ascii="Times New Roman" w:hAnsi="Times New Roman" w:cs="Times New Roman"/>
          <w:lang w:val="en-US"/>
        </w:rPr>
        <w:t xml:space="preserve">the </w:t>
      </w:r>
      <w:r w:rsidRPr="00174674">
        <w:rPr>
          <w:rFonts w:ascii="Times New Roman" w:hAnsi="Times New Roman" w:cs="Times New Roman"/>
          <w:lang w:val="en-US"/>
        </w:rPr>
        <w:t>Ukrainian law in 2003, but the relevant provision</w:t>
      </w:r>
      <w:r w:rsidR="00AB4616" w:rsidRPr="00174674">
        <w:rPr>
          <w:rFonts w:ascii="Times New Roman" w:hAnsi="Times New Roman" w:cs="Times New Roman"/>
          <w:lang w:val="en-US"/>
        </w:rPr>
        <w:t>s</w:t>
      </w:r>
      <w:r w:rsidRPr="00174674">
        <w:rPr>
          <w:rFonts w:ascii="Times New Roman" w:hAnsi="Times New Roman" w:cs="Times New Roman"/>
          <w:lang w:val="en-US"/>
        </w:rPr>
        <w:t xml:space="preserve"> had been never implemented before they were repelled by the parliament in 2007 (</w:t>
      </w:r>
      <w:proofErr w:type="spellStart"/>
      <w:r w:rsidR="00FD5D44" w:rsidRPr="00174674">
        <w:rPr>
          <w:rFonts w:ascii="Times New Roman" w:hAnsi="Times New Roman" w:cs="Times New Roman"/>
          <w:lang w:val="en-US"/>
        </w:rPr>
        <w:t>Riaboshapka</w:t>
      </w:r>
      <w:proofErr w:type="spellEnd"/>
      <w:r w:rsidRPr="00174674">
        <w:rPr>
          <w:rFonts w:ascii="Times New Roman" w:hAnsi="Times New Roman" w:cs="Times New Roman"/>
          <w:lang w:val="en-US"/>
        </w:rPr>
        <w:t>,</w:t>
      </w:r>
      <w:r w:rsidR="00FD5D44" w:rsidRPr="00174674">
        <w:rPr>
          <w:rFonts w:ascii="Times New Roman" w:hAnsi="Times New Roman" w:cs="Times New Roman"/>
          <w:lang w:val="en-US"/>
        </w:rPr>
        <w:t xml:space="preserve"> </w:t>
      </w:r>
      <w:proofErr w:type="spellStart"/>
      <w:r w:rsidR="00FD5D44" w:rsidRPr="00174674">
        <w:rPr>
          <w:rFonts w:ascii="Times New Roman" w:hAnsi="Times New Roman" w:cs="Times New Roman"/>
          <w:lang w:val="en-US"/>
        </w:rPr>
        <w:t>Taran</w:t>
      </w:r>
      <w:proofErr w:type="spellEnd"/>
      <w:r w:rsidR="00FD5D44" w:rsidRPr="00174674">
        <w:rPr>
          <w:rFonts w:ascii="Times New Roman" w:hAnsi="Times New Roman" w:cs="Times New Roman"/>
          <w:lang w:val="en-US"/>
        </w:rPr>
        <w:t xml:space="preserve">, </w:t>
      </w:r>
      <w:proofErr w:type="spellStart"/>
      <w:r w:rsidR="00FD5D44" w:rsidRPr="00174674">
        <w:rPr>
          <w:rFonts w:ascii="Times New Roman" w:hAnsi="Times New Roman" w:cs="Times New Roman"/>
          <w:lang w:val="en-US"/>
        </w:rPr>
        <w:t>Skliarov</w:t>
      </w:r>
      <w:proofErr w:type="spellEnd"/>
      <w:r w:rsidR="00FD5D44" w:rsidRPr="00174674">
        <w:rPr>
          <w:rFonts w:ascii="Times New Roman" w:hAnsi="Times New Roman" w:cs="Times New Roman"/>
          <w:lang w:val="en-US"/>
        </w:rPr>
        <w:t xml:space="preserve">, &amp; </w:t>
      </w:r>
      <w:proofErr w:type="spellStart"/>
      <w:r w:rsidR="00FD5D44" w:rsidRPr="00174674">
        <w:rPr>
          <w:rFonts w:ascii="Times New Roman" w:hAnsi="Times New Roman" w:cs="Times New Roman"/>
          <w:lang w:val="en-US"/>
        </w:rPr>
        <w:t>Balaban</w:t>
      </w:r>
      <w:proofErr w:type="spellEnd"/>
      <w:r w:rsidR="00FD5D44" w:rsidRPr="00174674">
        <w:rPr>
          <w:rFonts w:ascii="Times New Roman" w:hAnsi="Times New Roman" w:cs="Times New Roman"/>
          <w:lang w:val="en-US"/>
        </w:rPr>
        <w:t>,</w:t>
      </w:r>
      <w:r w:rsidRPr="00174674">
        <w:rPr>
          <w:rFonts w:ascii="Times New Roman" w:hAnsi="Times New Roman" w:cs="Times New Roman"/>
          <w:lang w:val="en-US"/>
        </w:rPr>
        <w:t xml:space="preserve"> 2015).</w:t>
      </w:r>
    </w:p>
  </w:footnote>
  <w:footnote w:id="4">
    <w:p w:rsidR="00B7352F" w:rsidRPr="00174674" w:rsidRDefault="00B7352F" w:rsidP="00B86176">
      <w:pPr>
        <w:pStyle w:val="FootnoteText"/>
        <w:jc w:val="both"/>
        <w:rPr>
          <w:rFonts w:ascii="Times New Roman" w:hAnsi="Times New Roman" w:cs="Times New Roman"/>
          <w:lang w:val="en-US"/>
        </w:rPr>
      </w:pPr>
      <w:r w:rsidRPr="00174674">
        <w:rPr>
          <w:rStyle w:val="FootnoteReference"/>
          <w:rFonts w:ascii="Times New Roman" w:hAnsi="Times New Roman" w:cs="Times New Roman"/>
        </w:rPr>
        <w:footnoteRef/>
      </w:r>
      <w:r w:rsidRPr="00174674">
        <w:rPr>
          <w:rFonts w:ascii="Times New Roman" w:hAnsi="Times New Roman" w:cs="Times New Roman"/>
          <w:lang w:val="en-US"/>
        </w:rPr>
        <w:t xml:space="preserve"> Opposition Bloc declined to receive budget subsidies citing dire economic situation in the country</w:t>
      </w:r>
      <w:r w:rsidR="00AB4616" w:rsidRPr="00174674">
        <w:rPr>
          <w:rFonts w:ascii="Times New Roman" w:hAnsi="Times New Roman" w:cs="Times New Roman"/>
          <w:lang w:val="en-US"/>
        </w:rPr>
        <w:t>.</w:t>
      </w:r>
    </w:p>
  </w:footnote>
  <w:footnote w:id="5">
    <w:p w:rsidR="008C2AFB" w:rsidRPr="00174674" w:rsidRDefault="008C2AFB" w:rsidP="00B86176">
      <w:pPr>
        <w:pStyle w:val="FootnoteText"/>
        <w:jc w:val="both"/>
        <w:rPr>
          <w:rFonts w:ascii="Times New Roman" w:hAnsi="Times New Roman" w:cs="Times New Roman"/>
          <w:lang w:val="en-US"/>
        </w:rPr>
      </w:pPr>
      <w:r w:rsidRPr="00174674">
        <w:rPr>
          <w:rStyle w:val="FootnoteReference"/>
          <w:rFonts w:ascii="Times New Roman" w:hAnsi="Times New Roman" w:cs="Times New Roman"/>
        </w:rPr>
        <w:footnoteRef/>
      </w:r>
      <w:r w:rsidRPr="00174674">
        <w:rPr>
          <w:rFonts w:ascii="Times New Roman" w:hAnsi="Times New Roman" w:cs="Times New Roman"/>
          <w:lang w:val="en-US"/>
        </w:rPr>
        <w:t xml:space="preserve"> </w:t>
      </w:r>
      <w:proofErr w:type="spellStart"/>
      <w:r w:rsidRPr="00174674">
        <w:rPr>
          <w:rFonts w:ascii="Times New Roman" w:hAnsi="Times New Roman" w:cs="Times New Roman"/>
          <w:i/>
          <w:lang w:val="en-US"/>
        </w:rPr>
        <w:t>Samopomich</w:t>
      </w:r>
      <w:proofErr w:type="spellEnd"/>
      <w:r w:rsidRPr="00174674">
        <w:rPr>
          <w:rFonts w:ascii="Times New Roman" w:hAnsi="Times New Roman" w:cs="Times New Roman"/>
          <w:i/>
          <w:lang w:val="en-US"/>
        </w:rPr>
        <w:t xml:space="preserve"> </w:t>
      </w:r>
      <w:r w:rsidRPr="00174674">
        <w:rPr>
          <w:rFonts w:ascii="Times New Roman" w:hAnsi="Times New Roman" w:cs="Times New Roman"/>
          <w:lang w:val="en-US"/>
        </w:rPr>
        <w:t>does not currently ha</w:t>
      </w:r>
      <w:r w:rsidR="00645B04" w:rsidRPr="00174674">
        <w:rPr>
          <w:rFonts w:ascii="Times New Roman" w:hAnsi="Times New Roman" w:cs="Times New Roman"/>
          <w:lang w:val="en-US"/>
        </w:rPr>
        <w:t>ve</w:t>
      </w:r>
      <w:r w:rsidR="00AB4616" w:rsidRPr="00174674">
        <w:rPr>
          <w:rFonts w:ascii="Times New Roman" w:hAnsi="Times New Roman" w:cs="Times New Roman"/>
          <w:lang w:val="en-US"/>
        </w:rPr>
        <w:t xml:space="preserve"> one third of women in its parliamentary faction</w:t>
      </w:r>
      <w:r w:rsidRPr="00174674">
        <w:rPr>
          <w:rFonts w:ascii="Times New Roman" w:hAnsi="Times New Roman" w:cs="Times New Roman"/>
          <w:lang w:val="en-US"/>
        </w:rPr>
        <w:t xml:space="preserve"> </w:t>
      </w:r>
      <w:r w:rsidR="00645B04" w:rsidRPr="00174674">
        <w:rPr>
          <w:rFonts w:ascii="Times New Roman" w:hAnsi="Times New Roman" w:cs="Times New Roman"/>
          <w:lang w:val="en-US"/>
        </w:rPr>
        <w:t xml:space="preserve">after </w:t>
      </w:r>
      <w:r w:rsidRPr="00174674">
        <w:rPr>
          <w:rFonts w:ascii="Times New Roman" w:hAnsi="Times New Roman" w:cs="Times New Roman"/>
          <w:lang w:val="en-US"/>
        </w:rPr>
        <w:t>excluding several of its members, but since the gender quota is c</w:t>
      </w:r>
      <w:r w:rsidR="00C47ACF" w:rsidRPr="00174674">
        <w:rPr>
          <w:rFonts w:ascii="Times New Roman" w:hAnsi="Times New Roman" w:cs="Times New Roman"/>
          <w:lang w:val="en-US"/>
        </w:rPr>
        <w:t xml:space="preserve">alculated </w:t>
      </w:r>
      <w:r w:rsidR="00B26EF4" w:rsidRPr="00174674">
        <w:rPr>
          <w:rFonts w:ascii="Times New Roman" w:hAnsi="Times New Roman" w:cs="Times New Roman"/>
          <w:lang w:val="en-US"/>
        </w:rPr>
        <w:t>at the</w:t>
      </w:r>
      <w:r w:rsidR="00C47ACF" w:rsidRPr="00174674">
        <w:rPr>
          <w:rFonts w:ascii="Times New Roman" w:hAnsi="Times New Roman" w:cs="Times New Roman"/>
          <w:lang w:val="en-US"/>
        </w:rPr>
        <w:t xml:space="preserve"> beginning of the work of the parliament, </w:t>
      </w:r>
      <w:r w:rsidR="00621B61" w:rsidRPr="00174674">
        <w:rPr>
          <w:rFonts w:ascii="Times New Roman" w:hAnsi="Times New Roman" w:cs="Times New Roman"/>
          <w:lang w:val="en-US"/>
        </w:rPr>
        <w:t>it</w:t>
      </w:r>
      <w:r w:rsidR="00C47ACF" w:rsidRPr="00174674">
        <w:rPr>
          <w:rFonts w:ascii="Times New Roman" w:hAnsi="Times New Roman" w:cs="Times New Roman"/>
          <w:lang w:val="en-US"/>
        </w:rPr>
        <w:t xml:space="preserve"> retains the right to receive additional money from the state budget.</w:t>
      </w:r>
    </w:p>
  </w:footnote>
  <w:footnote w:id="6">
    <w:p w:rsidR="00F56068" w:rsidRPr="00174674" w:rsidRDefault="00F56068" w:rsidP="00B86176">
      <w:pPr>
        <w:pStyle w:val="FootnoteText"/>
        <w:jc w:val="both"/>
        <w:rPr>
          <w:rFonts w:ascii="Times New Roman" w:hAnsi="Times New Roman" w:cs="Times New Roman"/>
          <w:lang w:val="en-US"/>
        </w:rPr>
      </w:pPr>
      <w:r w:rsidRPr="00174674">
        <w:rPr>
          <w:rStyle w:val="FootnoteReference"/>
          <w:rFonts w:ascii="Times New Roman" w:hAnsi="Times New Roman" w:cs="Times New Roman"/>
        </w:rPr>
        <w:footnoteRef/>
      </w:r>
      <w:r w:rsidRPr="00174674">
        <w:rPr>
          <w:rFonts w:ascii="Times New Roman" w:hAnsi="Times New Roman" w:cs="Times New Roman"/>
          <w:lang w:val="en-US"/>
        </w:rPr>
        <w:t xml:space="preserve"> According to the final report of the OSCE/ODIHR Election Observation Mission on 2014 Ukrainian parliamentary elections, three parties – PF, PPB, and </w:t>
      </w:r>
      <w:proofErr w:type="spellStart"/>
      <w:r w:rsidRPr="00174674">
        <w:rPr>
          <w:rFonts w:ascii="Times New Roman" w:hAnsi="Times New Roman" w:cs="Times New Roman"/>
          <w:i/>
          <w:lang w:val="en-US"/>
        </w:rPr>
        <w:t>Batkivshchyna</w:t>
      </w:r>
      <w:proofErr w:type="spellEnd"/>
      <w:r w:rsidRPr="00174674">
        <w:rPr>
          <w:rFonts w:ascii="Times New Roman" w:hAnsi="Times New Roman" w:cs="Times New Roman"/>
          <w:lang w:val="en-US"/>
        </w:rPr>
        <w:t xml:space="preserve"> – purchased 54 per cent of all political advertisement on national TV channels (OSCE/ODIHR</w:t>
      </w:r>
      <w:r w:rsidR="000C0B43" w:rsidRPr="00174674">
        <w:rPr>
          <w:rFonts w:ascii="Times New Roman" w:hAnsi="Times New Roman" w:cs="Times New Roman"/>
          <w:lang w:val="en-US"/>
        </w:rPr>
        <w:t>,</w:t>
      </w:r>
      <w:r w:rsidRPr="00174674">
        <w:rPr>
          <w:rFonts w:ascii="Times New Roman" w:hAnsi="Times New Roman" w:cs="Times New Roman"/>
          <w:lang w:val="en-US"/>
        </w:rPr>
        <w:t xml:space="preserve"> 2014).</w:t>
      </w:r>
    </w:p>
  </w:footnote>
  <w:footnote w:id="7">
    <w:p w:rsidR="007E2036" w:rsidRPr="00174674" w:rsidRDefault="007E2036" w:rsidP="00B86176">
      <w:pPr>
        <w:pStyle w:val="FootnoteText"/>
        <w:jc w:val="both"/>
        <w:rPr>
          <w:rFonts w:ascii="Times New Roman" w:hAnsi="Times New Roman" w:cs="Times New Roman"/>
          <w:lang w:val="en-US"/>
        </w:rPr>
      </w:pPr>
      <w:r w:rsidRPr="00174674">
        <w:rPr>
          <w:rStyle w:val="FootnoteReference"/>
          <w:rFonts w:ascii="Times New Roman" w:hAnsi="Times New Roman" w:cs="Times New Roman"/>
        </w:rPr>
        <w:footnoteRef/>
      </w:r>
      <w:r w:rsidRPr="00174674">
        <w:rPr>
          <w:rFonts w:ascii="Times New Roman" w:hAnsi="Times New Roman" w:cs="Times New Roman"/>
          <w:lang w:val="en-US"/>
        </w:rPr>
        <w:t xml:space="preserve"> </w:t>
      </w:r>
      <w:r w:rsidR="00074154" w:rsidRPr="00174674">
        <w:rPr>
          <w:rFonts w:ascii="Times New Roman" w:hAnsi="Times New Roman" w:cs="Times New Roman"/>
          <w:lang w:val="en-US"/>
        </w:rPr>
        <w:t xml:space="preserve">The law envisages that NAPC should consist of five members, but </w:t>
      </w:r>
      <w:r w:rsidR="003A27F8" w:rsidRPr="00174674">
        <w:rPr>
          <w:rFonts w:ascii="Times New Roman" w:hAnsi="Times New Roman" w:cs="Times New Roman"/>
          <w:lang w:val="en-US"/>
        </w:rPr>
        <w:t xml:space="preserve">the </w:t>
      </w:r>
      <w:r w:rsidR="00074154" w:rsidRPr="00174674">
        <w:rPr>
          <w:rFonts w:ascii="Times New Roman" w:hAnsi="Times New Roman" w:cs="Times New Roman"/>
          <w:lang w:val="en-US"/>
        </w:rPr>
        <w:t xml:space="preserve">fifth member has not been elected yet. </w:t>
      </w:r>
    </w:p>
  </w:footnote>
  <w:footnote w:id="8">
    <w:p w:rsidR="0007492B" w:rsidRPr="00174674" w:rsidRDefault="0007492B" w:rsidP="00B86176">
      <w:pPr>
        <w:pStyle w:val="FootnoteText"/>
        <w:jc w:val="both"/>
        <w:rPr>
          <w:rFonts w:ascii="Times New Roman" w:hAnsi="Times New Roman" w:cs="Times New Roman"/>
          <w:lang w:val="en-US"/>
        </w:rPr>
      </w:pPr>
      <w:r w:rsidRPr="00174674">
        <w:rPr>
          <w:rStyle w:val="FootnoteReference"/>
          <w:rFonts w:ascii="Times New Roman" w:hAnsi="Times New Roman" w:cs="Times New Roman"/>
        </w:rPr>
        <w:footnoteRef/>
      </w:r>
      <w:r w:rsidRPr="00174674">
        <w:rPr>
          <w:rFonts w:ascii="Times New Roman" w:hAnsi="Times New Roman" w:cs="Times New Roman"/>
          <w:lang w:val="en-US"/>
        </w:rPr>
        <w:t xml:space="preserve"> I</w:t>
      </w:r>
      <w:r w:rsidR="009263AF" w:rsidRPr="00174674">
        <w:rPr>
          <w:rFonts w:ascii="Times New Roman" w:hAnsi="Times New Roman" w:cs="Times New Roman"/>
          <w:lang w:val="en-US"/>
        </w:rPr>
        <w:t>n the case of AP, the court refused to apply sanctions due to exceeding of period for administrative liability.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DF"/>
    <w:rsid w:val="000271F9"/>
    <w:rsid w:val="00044142"/>
    <w:rsid w:val="0005345C"/>
    <w:rsid w:val="00054FE4"/>
    <w:rsid w:val="00071911"/>
    <w:rsid w:val="00073E7B"/>
    <w:rsid w:val="00074154"/>
    <w:rsid w:val="0007492B"/>
    <w:rsid w:val="00081011"/>
    <w:rsid w:val="0009593B"/>
    <w:rsid w:val="00095A90"/>
    <w:rsid w:val="000A5275"/>
    <w:rsid w:val="000B7B70"/>
    <w:rsid w:val="000C0B43"/>
    <w:rsid w:val="000C1003"/>
    <w:rsid w:val="000C7397"/>
    <w:rsid w:val="000C7689"/>
    <w:rsid w:val="000D06A1"/>
    <w:rsid w:val="000D2256"/>
    <w:rsid w:val="000E1F18"/>
    <w:rsid w:val="00102CF7"/>
    <w:rsid w:val="00103402"/>
    <w:rsid w:val="001079B1"/>
    <w:rsid w:val="00112E52"/>
    <w:rsid w:val="001269CA"/>
    <w:rsid w:val="0012751C"/>
    <w:rsid w:val="00145DD9"/>
    <w:rsid w:val="00155F71"/>
    <w:rsid w:val="00156929"/>
    <w:rsid w:val="00160D6D"/>
    <w:rsid w:val="0017032B"/>
    <w:rsid w:val="00174674"/>
    <w:rsid w:val="00181AA5"/>
    <w:rsid w:val="00186218"/>
    <w:rsid w:val="001A544F"/>
    <w:rsid w:val="001A6933"/>
    <w:rsid w:val="001E0C51"/>
    <w:rsid w:val="001F4AF2"/>
    <w:rsid w:val="001F4C8F"/>
    <w:rsid w:val="00201F2C"/>
    <w:rsid w:val="002102CF"/>
    <w:rsid w:val="0021595E"/>
    <w:rsid w:val="00217D7D"/>
    <w:rsid w:val="00220FC1"/>
    <w:rsid w:val="00223895"/>
    <w:rsid w:val="00235EFB"/>
    <w:rsid w:val="00237968"/>
    <w:rsid w:val="002477E5"/>
    <w:rsid w:val="002631FE"/>
    <w:rsid w:val="00284099"/>
    <w:rsid w:val="002B402C"/>
    <w:rsid w:val="002E74AB"/>
    <w:rsid w:val="002F3C50"/>
    <w:rsid w:val="0031030C"/>
    <w:rsid w:val="00313F01"/>
    <w:rsid w:val="00317BE2"/>
    <w:rsid w:val="003379CE"/>
    <w:rsid w:val="00347F3A"/>
    <w:rsid w:val="00352F37"/>
    <w:rsid w:val="00353504"/>
    <w:rsid w:val="00362A0B"/>
    <w:rsid w:val="003768F4"/>
    <w:rsid w:val="003A2698"/>
    <w:rsid w:val="003A27F8"/>
    <w:rsid w:val="003E2558"/>
    <w:rsid w:val="003F0591"/>
    <w:rsid w:val="003F653D"/>
    <w:rsid w:val="00403064"/>
    <w:rsid w:val="004103AC"/>
    <w:rsid w:val="00425C4E"/>
    <w:rsid w:val="00435281"/>
    <w:rsid w:val="00435469"/>
    <w:rsid w:val="004404F6"/>
    <w:rsid w:val="004420D3"/>
    <w:rsid w:val="00460841"/>
    <w:rsid w:val="00465C89"/>
    <w:rsid w:val="00466A84"/>
    <w:rsid w:val="00472975"/>
    <w:rsid w:val="00487C38"/>
    <w:rsid w:val="004B1F99"/>
    <w:rsid w:val="004C11B2"/>
    <w:rsid w:val="004E39D1"/>
    <w:rsid w:val="004F1C63"/>
    <w:rsid w:val="005167F1"/>
    <w:rsid w:val="005177EF"/>
    <w:rsid w:val="005315F3"/>
    <w:rsid w:val="005376B5"/>
    <w:rsid w:val="00541E6F"/>
    <w:rsid w:val="00547A3D"/>
    <w:rsid w:val="00547AED"/>
    <w:rsid w:val="005508EC"/>
    <w:rsid w:val="00565E9B"/>
    <w:rsid w:val="005669C8"/>
    <w:rsid w:val="00570895"/>
    <w:rsid w:val="005726E9"/>
    <w:rsid w:val="00577ACA"/>
    <w:rsid w:val="00577BB5"/>
    <w:rsid w:val="005829E1"/>
    <w:rsid w:val="0058687B"/>
    <w:rsid w:val="005C11A4"/>
    <w:rsid w:val="005E7E9C"/>
    <w:rsid w:val="005F2E94"/>
    <w:rsid w:val="005F3BB5"/>
    <w:rsid w:val="00613370"/>
    <w:rsid w:val="006157A3"/>
    <w:rsid w:val="00616C69"/>
    <w:rsid w:val="00621B61"/>
    <w:rsid w:val="0062216A"/>
    <w:rsid w:val="00645B04"/>
    <w:rsid w:val="00667190"/>
    <w:rsid w:val="00674296"/>
    <w:rsid w:val="00677634"/>
    <w:rsid w:val="006A4972"/>
    <w:rsid w:val="006B0582"/>
    <w:rsid w:val="006B3832"/>
    <w:rsid w:val="006D4ED7"/>
    <w:rsid w:val="006F18FD"/>
    <w:rsid w:val="006F2E45"/>
    <w:rsid w:val="006F6076"/>
    <w:rsid w:val="00705A6A"/>
    <w:rsid w:val="00710F0D"/>
    <w:rsid w:val="00721221"/>
    <w:rsid w:val="00736A7F"/>
    <w:rsid w:val="00743BE4"/>
    <w:rsid w:val="00745924"/>
    <w:rsid w:val="00766D02"/>
    <w:rsid w:val="00772D1E"/>
    <w:rsid w:val="00784510"/>
    <w:rsid w:val="00785288"/>
    <w:rsid w:val="00792A7F"/>
    <w:rsid w:val="00794F6C"/>
    <w:rsid w:val="007A5E79"/>
    <w:rsid w:val="007B2550"/>
    <w:rsid w:val="007D11DD"/>
    <w:rsid w:val="007E2036"/>
    <w:rsid w:val="007F10EB"/>
    <w:rsid w:val="008052DF"/>
    <w:rsid w:val="00806EBC"/>
    <w:rsid w:val="00821D04"/>
    <w:rsid w:val="00892400"/>
    <w:rsid w:val="00894487"/>
    <w:rsid w:val="008C2AFB"/>
    <w:rsid w:val="008C533A"/>
    <w:rsid w:val="008E00CE"/>
    <w:rsid w:val="008E0360"/>
    <w:rsid w:val="008E212E"/>
    <w:rsid w:val="008F6211"/>
    <w:rsid w:val="009263AF"/>
    <w:rsid w:val="009420ED"/>
    <w:rsid w:val="00945F92"/>
    <w:rsid w:val="00964122"/>
    <w:rsid w:val="009A65DC"/>
    <w:rsid w:val="00A1660D"/>
    <w:rsid w:val="00A26B21"/>
    <w:rsid w:val="00A36E59"/>
    <w:rsid w:val="00A43788"/>
    <w:rsid w:val="00A91133"/>
    <w:rsid w:val="00AB4616"/>
    <w:rsid w:val="00AD1E65"/>
    <w:rsid w:val="00AF27BB"/>
    <w:rsid w:val="00B048DF"/>
    <w:rsid w:val="00B10E1E"/>
    <w:rsid w:val="00B14B92"/>
    <w:rsid w:val="00B26EF4"/>
    <w:rsid w:val="00B40869"/>
    <w:rsid w:val="00B5290A"/>
    <w:rsid w:val="00B529AA"/>
    <w:rsid w:val="00B72420"/>
    <w:rsid w:val="00B7352F"/>
    <w:rsid w:val="00B86176"/>
    <w:rsid w:val="00BA5156"/>
    <w:rsid w:val="00BA7A05"/>
    <w:rsid w:val="00BB12D1"/>
    <w:rsid w:val="00BB7106"/>
    <w:rsid w:val="00BE7486"/>
    <w:rsid w:val="00BF08F8"/>
    <w:rsid w:val="00C03A08"/>
    <w:rsid w:val="00C2347F"/>
    <w:rsid w:val="00C42F02"/>
    <w:rsid w:val="00C47ACF"/>
    <w:rsid w:val="00C562CC"/>
    <w:rsid w:val="00C76245"/>
    <w:rsid w:val="00C84C16"/>
    <w:rsid w:val="00C909D1"/>
    <w:rsid w:val="00C91CF9"/>
    <w:rsid w:val="00C931E8"/>
    <w:rsid w:val="00C94385"/>
    <w:rsid w:val="00C97FEB"/>
    <w:rsid w:val="00CB0C8D"/>
    <w:rsid w:val="00CB0DBD"/>
    <w:rsid w:val="00CB62F6"/>
    <w:rsid w:val="00CC2B83"/>
    <w:rsid w:val="00CD25E8"/>
    <w:rsid w:val="00CF40CD"/>
    <w:rsid w:val="00CF429F"/>
    <w:rsid w:val="00D22678"/>
    <w:rsid w:val="00D47AEB"/>
    <w:rsid w:val="00D7096F"/>
    <w:rsid w:val="00DE564B"/>
    <w:rsid w:val="00DF49FC"/>
    <w:rsid w:val="00DF6C47"/>
    <w:rsid w:val="00E01060"/>
    <w:rsid w:val="00E14908"/>
    <w:rsid w:val="00E43171"/>
    <w:rsid w:val="00E647F6"/>
    <w:rsid w:val="00E7411F"/>
    <w:rsid w:val="00E94675"/>
    <w:rsid w:val="00EB3EC3"/>
    <w:rsid w:val="00EC1D24"/>
    <w:rsid w:val="00ED1F01"/>
    <w:rsid w:val="00ED5D4A"/>
    <w:rsid w:val="00EE1FD0"/>
    <w:rsid w:val="00EF2D80"/>
    <w:rsid w:val="00F14910"/>
    <w:rsid w:val="00F167E7"/>
    <w:rsid w:val="00F31001"/>
    <w:rsid w:val="00F55836"/>
    <w:rsid w:val="00F56068"/>
    <w:rsid w:val="00F65757"/>
    <w:rsid w:val="00F83FEA"/>
    <w:rsid w:val="00FA4AA5"/>
    <w:rsid w:val="00FB549E"/>
    <w:rsid w:val="00FC3725"/>
    <w:rsid w:val="00FD3177"/>
    <w:rsid w:val="00FD5D44"/>
    <w:rsid w:val="00FD618B"/>
    <w:rsid w:val="00FE31F3"/>
    <w:rsid w:val="00FF4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69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929"/>
    <w:rPr>
      <w:sz w:val="20"/>
      <w:szCs w:val="20"/>
    </w:rPr>
  </w:style>
  <w:style w:type="character" w:styleId="FootnoteReference">
    <w:name w:val="footnote reference"/>
    <w:basedOn w:val="DefaultParagraphFont"/>
    <w:uiPriority w:val="99"/>
    <w:semiHidden/>
    <w:unhideWhenUsed/>
    <w:rsid w:val="00156929"/>
    <w:rPr>
      <w:vertAlign w:val="superscript"/>
    </w:rPr>
  </w:style>
  <w:style w:type="character" w:styleId="Hyperlink">
    <w:name w:val="Hyperlink"/>
    <w:basedOn w:val="DefaultParagraphFont"/>
    <w:uiPriority w:val="99"/>
    <w:unhideWhenUsed/>
    <w:rsid w:val="00E7411F"/>
    <w:rPr>
      <w:color w:val="0000FF" w:themeColor="hyperlink"/>
      <w:u w:val="single"/>
    </w:rPr>
  </w:style>
  <w:style w:type="character" w:styleId="FollowedHyperlink">
    <w:name w:val="FollowedHyperlink"/>
    <w:basedOn w:val="DefaultParagraphFont"/>
    <w:uiPriority w:val="99"/>
    <w:semiHidden/>
    <w:unhideWhenUsed/>
    <w:rsid w:val="00FD5D44"/>
    <w:rPr>
      <w:color w:val="800080" w:themeColor="followedHyperlink"/>
      <w:u w:val="single"/>
    </w:rPr>
  </w:style>
  <w:style w:type="paragraph" w:styleId="ListParagraph">
    <w:name w:val="List Paragraph"/>
    <w:basedOn w:val="Normal"/>
    <w:uiPriority w:val="34"/>
    <w:qFormat/>
    <w:rsid w:val="00AF27BB"/>
    <w:pPr>
      <w:ind w:left="720"/>
      <w:contextualSpacing/>
    </w:pPr>
  </w:style>
  <w:style w:type="paragraph" w:styleId="BalloonText">
    <w:name w:val="Balloon Text"/>
    <w:basedOn w:val="Normal"/>
    <w:link w:val="BalloonTextChar"/>
    <w:uiPriority w:val="99"/>
    <w:semiHidden/>
    <w:unhideWhenUsed/>
    <w:rsid w:val="005F3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B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69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929"/>
    <w:rPr>
      <w:sz w:val="20"/>
      <w:szCs w:val="20"/>
    </w:rPr>
  </w:style>
  <w:style w:type="character" w:styleId="FootnoteReference">
    <w:name w:val="footnote reference"/>
    <w:basedOn w:val="DefaultParagraphFont"/>
    <w:uiPriority w:val="99"/>
    <w:semiHidden/>
    <w:unhideWhenUsed/>
    <w:rsid w:val="00156929"/>
    <w:rPr>
      <w:vertAlign w:val="superscript"/>
    </w:rPr>
  </w:style>
  <w:style w:type="character" w:styleId="Hyperlink">
    <w:name w:val="Hyperlink"/>
    <w:basedOn w:val="DefaultParagraphFont"/>
    <w:uiPriority w:val="99"/>
    <w:unhideWhenUsed/>
    <w:rsid w:val="00E7411F"/>
    <w:rPr>
      <w:color w:val="0000FF" w:themeColor="hyperlink"/>
      <w:u w:val="single"/>
    </w:rPr>
  </w:style>
  <w:style w:type="character" w:styleId="FollowedHyperlink">
    <w:name w:val="FollowedHyperlink"/>
    <w:basedOn w:val="DefaultParagraphFont"/>
    <w:uiPriority w:val="99"/>
    <w:semiHidden/>
    <w:unhideWhenUsed/>
    <w:rsid w:val="00FD5D44"/>
    <w:rPr>
      <w:color w:val="800080" w:themeColor="followedHyperlink"/>
      <w:u w:val="single"/>
    </w:rPr>
  </w:style>
  <w:style w:type="paragraph" w:styleId="ListParagraph">
    <w:name w:val="List Paragraph"/>
    <w:basedOn w:val="Normal"/>
    <w:uiPriority w:val="34"/>
    <w:qFormat/>
    <w:rsid w:val="00AF27BB"/>
    <w:pPr>
      <w:ind w:left="720"/>
      <w:contextualSpacing/>
    </w:pPr>
  </w:style>
  <w:style w:type="paragraph" w:styleId="BalloonText">
    <w:name w:val="Balloon Text"/>
    <w:basedOn w:val="Normal"/>
    <w:link w:val="BalloonTextChar"/>
    <w:uiPriority w:val="99"/>
    <w:semiHidden/>
    <w:unhideWhenUsed/>
    <w:rsid w:val="005F3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B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m.coe.int/16806ca329" TargetMode="External"/><Relationship Id="rId18" Type="http://schemas.openxmlformats.org/officeDocument/2006/relationships/hyperlink" Target="https://www.oporaua.org/news/7993-zvit-rozsliduvannja-zlochyniv-povjazanyh-iz-vyborchym-procesom-2014-r" TargetMode="External"/><Relationship Id="rId26" Type="http://schemas.openxmlformats.org/officeDocument/2006/relationships/hyperlink" Target="https://lb.ua/blog/victor_taran/353665_yaki_zmini_finansovih_dokumentah.html" TargetMode="External"/><Relationship Id="rId3" Type="http://schemas.microsoft.com/office/2007/relationships/stylesWithEffects" Target="stylesWithEffects.xml"/><Relationship Id="rId21" Type="http://schemas.openxmlformats.org/officeDocument/2006/relationships/hyperlink" Target="http://www.osce.org/odihr/elections/ukraine/177901?download=true" TargetMode="External"/><Relationship Id="rId34"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rm.coe.int/16806ca325" TargetMode="External"/><Relationship Id="rId17" Type="http://schemas.openxmlformats.org/officeDocument/2006/relationships/hyperlink" Target="https://www.oporaua.org/news/7523-finansuvannja-peredvyborchoji-agitaciji-na-pozachergovyh-parlamentskyh-vyborah-2014-roku-vyborchi-fondy-politychnyh-partij" TargetMode="External"/><Relationship Id="rId25" Type="http://schemas.openxmlformats.org/officeDocument/2006/relationships/hyperlink" Target="http://cedem.org.ua/analytics/politychna-reklama-obmezhyty-chy-zaboronyty/" TargetMode="External"/><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bihus.info/cerga-do-kasi-partiini-donori-navit-ne-znaut-so-voni-pidtrimuut-partii-tisacami-griven" TargetMode="External"/><Relationship Id="rId20" Type="http://schemas.openxmlformats.org/officeDocument/2006/relationships/hyperlink" Target="http://www.osce.org/odihr/elections/ukraine/132556?download=true"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da.com.ua/cdn/graphics/2017/03/batkivshhyna_hto_hovajetsja_za_sponsoramy_zi_stolychnyh_okolyc/" TargetMode="External"/><Relationship Id="rId24" Type="http://schemas.openxmlformats.org/officeDocument/2006/relationships/hyperlink" Target="http://dif.org.ua/uploads/pdf/171118265758a6f4c90b56b6.15607560.pdf" TargetMode="Externa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chesno.org/t/12/zoloto_partiy_nf.html" TargetMode="External"/><Relationship Id="rId23" Type="http://schemas.openxmlformats.org/officeDocument/2006/relationships/hyperlink" Target="http://eidos.org.ua/wp-content/uploads/2015/01/PARTIES03_17.pdf"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cvu.org.ua/uploads/%D0%B7%D0%B2%D1%96%D1%82%20%D0%9A%D0%92%D0%A3_%D0%B0%D0%BD%D0%B0%D0%BB%D1%96%D0%B7%20%D1%84%D1%96%D0%BD%D0%B0%D0%BD%D1%81%D0%BE%D0%B2%D0%B8%D1%85%20%D0%B7%D0%B2%D1%96%D1%82%D1%96%D0%B2%20%D0%BF%D0%B0%D1%80%D1%82%D1%96%D0%B9.pdf" TargetMode="External"/><Relationship Id="rId19" Type="http://schemas.openxmlformats.org/officeDocument/2006/relationships/hyperlink" Target="http://www.osce.org/odihr/98578?download=true"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cedem.org.ua/analytics/politychna-reklama-obmezhyty-chy-zaboronyty/" TargetMode="External"/><Relationship Id="rId14" Type="http://schemas.openxmlformats.org/officeDocument/2006/relationships/hyperlink" Target="http://parlament.org.ua/upload/docs/Final%20Country%20Report%20Ukraine%20-%20eng.pdf" TargetMode="External"/><Relationship Id="rId22" Type="http://schemas.openxmlformats.org/officeDocument/2006/relationships/hyperlink" Target="http://www.osce.org/odihr/elections/ukraine/195946?download=true" TargetMode="Externa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C7F7-77FA-424C-8855-C737ED52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14</Pages>
  <Words>6861</Words>
  <Characters>39113</Characters>
  <Application>Microsoft Office Word</Application>
  <DocSecurity>0</DocSecurity>
  <Lines>325</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KECHAQMADZE Mikheil</cp:lastModifiedBy>
  <cp:revision>163</cp:revision>
  <dcterms:created xsi:type="dcterms:W3CDTF">2017-06-08T11:33:00Z</dcterms:created>
  <dcterms:modified xsi:type="dcterms:W3CDTF">2017-07-12T13:57:00Z</dcterms:modified>
</cp:coreProperties>
</file>