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F10" w:rsidRPr="00BD6815" w:rsidRDefault="005D3F10" w:rsidP="005D3F10">
      <w:pPr>
        <w:ind w:left="720"/>
        <w:jc w:val="center"/>
        <w:rPr>
          <w:rFonts w:ascii="Times New Roman" w:hAnsi="Times New Roman"/>
          <w:b/>
          <w:sz w:val="24"/>
          <w:szCs w:val="24"/>
        </w:rPr>
      </w:pPr>
    </w:p>
    <w:p w:rsidR="005D3F10" w:rsidRDefault="005D3F10" w:rsidP="005D3F10">
      <w:pPr>
        <w:ind w:left="720"/>
        <w:jc w:val="center"/>
        <w:rPr>
          <w:rFonts w:ascii="Times New Roman" w:hAnsi="Times New Roman"/>
          <w:b/>
          <w:sz w:val="24"/>
          <w:szCs w:val="24"/>
        </w:rPr>
      </w:pPr>
    </w:p>
    <w:p w:rsidR="002A217A" w:rsidRPr="00A70FC3" w:rsidRDefault="002A217A" w:rsidP="002A217A">
      <w:pPr>
        <w:contextualSpacing/>
        <w:jc w:val="center"/>
        <w:rPr>
          <w:rFonts w:cs="Calibri"/>
        </w:rPr>
      </w:pPr>
      <w:r>
        <w:rPr>
          <w:rFonts w:cs="Calibri"/>
          <w:noProof/>
          <w:sz w:val="40"/>
          <w:szCs w:val="40"/>
          <w:lang w:eastAsia="en-GB"/>
        </w:rPr>
        <w:drawing>
          <wp:inline distT="0" distB="0" distL="0" distR="0" wp14:anchorId="7A66464A" wp14:editId="40A36BD6">
            <wp:extent cx="3400425" cy="1381125"/>
            <wp:effectExtent l="0" t="0" r="0" b="0"/>
            <wp:docPr id="10" name="Picture 10" descr="lhuxtCItjmXhlUfM1ekWJwXBuonz9nmMYBbS3LqPFkDk6AJoNG_OeIREV1qkiqdvfjStmjMivRyUmDs3kJj41ymEvf7KSMwWAdmL7bAJ54YAdlVp_S4gm69E_syu1wO7N-DS8G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uxtCItjmXhlUfM1ekWJwXBuonz9nmMYBbS3LqPFkDk6AJoNG_OeIREV1qkiqdvfjStmjMivRyUmDs3kJj41ymEvf7KSMwWAdmL7bAJ54YAdlVp_S4gm69E_syu1wO7N-DS8G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381125"/>
                    </a:xfrm>
                    <a:prstGeom prst="rect">
                      <a:avLst/>
                    </a:prstGeom>
                    <a:noFill/>
                    <a:ln>
                      <a:noFill/>
                    </a:ln>
                  </pic:spPr>
                </pic:pic>
              </a:graphicData>
            </a:graphic>
          </wp:inline>
        </w:drawing>
      </w:r>
    </w:p>
    <w:p w:rsidR="002A217A" w:rsidRPr="00D13287" w:rsidRDefault="002A217A" w:rsidP="002A217A">
      <w:pPr>
        <w:contextualSpacing/>
        <w:jc w:val="center"/>
        <w:rPr>
          <w:rFonts w:ascii="Times New Roman" w:hAnsi="Times New Roman"/>
          <w:b/>
          <w:color w:val="365F91"/>
          <w:sz w:val="28"/>
        </w:rPr>
      </w:pPr>
      <w:r w:rsidRPr="00D13287">
        <w:rPr>
          <w:rFonts w:ascii="Times New Roman" w:hAnsi="Times New Roman"/>
          <w:b/>
          <w:color w:val="365F91"/>
          <w:sz w:val="44"/>
          <w:szCs w:val="40"/>
        </w:rPr>
        <w:t>Regional Conference 2017</w:t>
      </w:r>
    </w:p>
    <w:p w:rsidR="00082393" w:rsidRPr="000F6596" w:rsidRDefault="00082393" w:rsidP="00082393">
      <w:pPr>
        <w:contextualSpacing/>
        <w:jc w:val="center"/>
        <w:rPr>
          <w:rFonts w:ascii="Times New Roman" w:eastAsia="Times New Roman" w:hAnsi="Times New Roman"/>
          <w:color w:val="000000"/>
          <w:sz w:val="40"/>
          <w:szCs w:val="40"/>
          <w:lang w:val="en-US"/>
        </w:rPr>
      </w:pPr>
    </w:p>
    <w:p w:rsidR="00082393" w:rsidRPr="000F6596" w:rsidRDefault="00082393" w:rsidP="00082393">
      <w:pPr>
        <w:contextualSpacing/>
        <w:jc w:val="center"/>
        <w:rPr>
          <w:rFonts w:ascii="Times New Roman" w:eastAsia="Times New Roman" w:hAnsi="Times New Roman"/>
          <w:color w:val="365F91"/>
          <w:sz w:val="40"/>
          <w:szCs w:val="40"/>
        </w:rPr>
      </w:pPr>
    </w:p>
    <w:p w:rsidR="00082393" w:rsidRPr="000F6596" w:rsidRDefault="00082393" w:rsidP="00082393">
      <w:pPr>
        <w:contextualSpacing/>
        <w:jc w:val="center"/>
        <w:rPr>
          <w:rFonts w:ascii="Times New Roman" w:eastAsia="Times New Roman" w:hAnsi="Times New Roman"/>
          <w:color w:val="365F91"/>
          <w:lang w:val="en-US"/>
        </w:rPr>
      </w:pPr>
      <w:r w:rsidRPr="000F6596">
        <w:rPr>
          <w:rFonts w:ascii="Times New Roman" w:eastAsia="Times New Roman" w:hAnsi="Times New Roman"/>
          <w:color w:val="365F91"/>
          <w:sz w:val="40"/>
          <w:szCs w:val="40"/>
          <w:lang w:val="en-US"/>
        </w:rPr>
        <w:t>Lasting Challenges and</w:t>
      </w:r>
    </w:p>
    <w:p w:rsidR="00082393" w:rsidRPr="000F6596" w:rsidRDefault="00082393" w:rsidP="00082393">
      <w:pPr>
        <w:contextualSpacing/>
        <w:jc w:val="center"/>
        <w:rPr>
          <w:rFonts w:ascii="Times New Roman" w:eastAsia="Times New Roman" w:hAnsi="Times New Roman"/>
          <w:color w:val="365F91"/>
          <w:lang w:val="en-US"/>
        </w:rPr>
      </w:pPr>
      <w:r w:rsidRPr="000F6596">
        <w:rPr>
          <w:rFonts w:ascii="Times New Roman" w:eastAsia="Times New Roman" w:hAnsi="Times New Roman"/>
          <w:color w:val="365F91"/>
          <w:sz w:val="40"/>
          <w:szCs w:val="40"/>
          <w:lang w:val="en-US"/>
        </w:rPr>
        <w:t>International Practices in Eastern Europe</w:t>
      </w:r>
    </w:p>
    <w:p w:rsidR="00082393" w:rsidRDefault="00082393" w:rsidP="00082393">
      <w:pPr>
        <w:contextualSpacing/>
        <w:jc w:val="center"/>
        <w:rPr>
          <w:rFonts w:ascii="Times New Roman" w:eastAsia="Times New Roman" w:hAnsi="Times New Roman"/>
          <w:color w:val="000000"/>
          <w:sz w:val="40"/>
          <w:szCs w:val="40"/>
          <w:lang w:val="en-US"/>
        </w:rPr>
      </w:pPr>
    </w:p>
    <w:p w:rsidR="00E84EFC" w:rsidRPr="000F6596" w:rsidRDefault="00E84EFC" w:rsidP="00082393">
      <w:pPr>
        <w:contextualSpacing/>
        <w:jc w:val="center"/>
        <w:rPr>
          <w:rFonts w:ascii="Times New Roman" w:eastAsia="Times New Roman" w:hAnsi="Times New Roman"/>
          <w:color w:val="000000"/>
          <w:sz w:val="40"/>
          <w:szCs w:val="40"/>
          <w:lang w:val="en-US"/>
        </w:rPr>
      </w:pPr>
    </w:p>
    <w:p w:rsidR="005E538D" w:rsidRPr="00F01DC4" w:rsidRDefault="005E538D" w:rsidP="005E538D">
      <w:pPr>
        <w:ind w:left="720"/>
        <w:jc w:val="center"/>
        <w:rPr>
          <w:rFonts w:ascii="Times New Roman" w:hAnsi="Times New Roman"/>
          <w:b/>
          <w:sz w:val="36"/>
          <w:szCs w:val="36"/>
        </w:rPr>
      </w:pPr>
      <w:r w:rsidRPr="000F6596">
        <w:rPr>
          <w:rFonts w:ascii="Times New Roman" w:hAnsi="Times New Roman"/>
          <w:b/>
          <w:sz w:val="36"/>
          <w:szCs w:val="36"/>
        </w:rPr>
        <w:t>Political Party/Campaign Finances and Use of Administrative Resources in Azerbaijan</w:t>
      </w:r>
      <w:r w:rsidRPr="000F6596">
        <w:rPr>
          <w:rFonts w:ascii="Times New Roman" w:hAnsi="Times New Roman"/>
          <w:b/>
          <w:sz w:val="28"/>
          <w:szCs w:val="28"/>
        </w:rPr>
        <w:t xml:space="preserve"> </w:t>
      </w:r>
      <w:r w:rsidRPr="00F01DC4">
        <w:rPr>
          <w:rStyle w:val="FootnoteReference"/>
          <w:rFonts w:ascii="Times New Roman" w:hAnsi="Times New Roman"/>
          <w:b/>
          <w:sz w:val="36"/>
          <w:szCs w:val="36"/>
        </w:rPr>
        <w:footnoteReference w:id="1"/>
      </w:r>
    </w:p>
    <w:p w:rsidR="005E538D" w:rsidRDefault="005E538D" w:rsidP="005E538D">
      <w:pPr>
        <w:jc w:val="center"/>
        <w:rPr>
          <w:rFonts w:ascii="Times New Roman" w:hAnsi="Times New Roman"/>
          <w:b/>
          <w:sz w:val="28"/>
          <w:szCs w:val="28"/>
        </w:rPr>
      </w:pPr>
    </w:p>
    <w:p w:rsidR="005E538D" w:rsidRPr="000F6596" w:rsidRDefault="005E538D" w:rsidP="005E538D">
      <w:pPr>
        <w:jc w:val="center"/>
        <w:rPr>
          <w:rFonts w:ascii="Times New Roman" w:hAnsi="Times New Roman"/>
          <w:b/>
          <w:sz w:val="28"/>
          <w:szCs w:val="28"/>
        </w:rPr>
      </w:pPr>
      <w:r>
        <w:rPr>
          <w:rFonts w:ascii="Times New Roman" w:hAnsi="Times New Roman"/>
          <w:b/>
          <w:sz w:val="28"/>
          <w:szCs w:val="28"/>
        </w:rPr>
        <w:t xml:space="preserve">Country </w:t>
      </w:r>
      <w:r w:rsidRPr="000F6596">
        <w:rPr>
          <w:rFonts w:ascii="Times New Roman" w:hAnsi="Times New Roman"/>
          <w:b/>
          <w:sz w:val="28"/>
          <w:szCs w:val="28"/>
        </w:rPr>
        <w:t>Report</w:t>
      </w:r>
    </w:p>
    <w:p w:rsidR="005E538D" w:rsidRDefault="005E538D" w:rsidP="005E538D">
      <w:pPr>
        <w:ind w:left="720"/>
        <w:jc w:val="center"/>
        <w:rPr>
          <w:rFonts w:ascii="Times New Roman" w:hAnsi="Times New Roman"/>
          <w:sz w:val="24"/>
          <w:szCs w:val="24"/>
        </w:rPr>
      </w:pPr>
    </w:p>
    <w:p w:rsidR="00155D86" w:rsidRPr="00F01DC4" w:rsidRDefault="00155D86" w:rsidP="005E538D">
      <w:pPr>
        <w:ind w:left="720"/>
        <w:jc w:val="center"/>
        <w:rPr>
          <w:rFonts w:ascii="Times New Roman" w:hAnsi="Times New Roman"/>
          <w:sz w:val="24"/>
          <w:szCs w:val="24"/>
        </w:rPr>
      </w:pPr>
    </w:p>
    <w:p w:rsidR="00155D86" w:rsidRDefault="00155D86" w:rsidP="005E538D">
      <w:pPr>
        <w:ind w:left="720"/>
        <w:jc w:val="center"/>
        <w:rPr>
          <w:rFonts w:ascii="Times New Roman" w:hAnsi="Times New Roman"/>
          <w:sz w:val="24"/>
          <w:szCs w:val="24"/>
        </w:rPr>
      </w:pPr>
    </w:p>
    <w:p w:rsidR="005E538D" w:rsidRPr="00F01DC4" w:rsidRDefault="005E538D" w:rsidP="00155D86">
      <w:pPr>
        <w:ind w:left="4320" w:firstLine="720"/>
        <w:rPr>
          <w:rFonts w:ascii="Times New Roman" w:hAnsi="Times New Roman"/>
          <w:sz w:val="24"/>
          <w:szCs w:val="24"/>
        </w:rPr>
      </w:pPr>
      <w:r w:rsidRPr="00F01DC4">
        <w:rPr>
          <w:rFonts w:ascii="Times New Roman" w:hAnsi="Times New Roman"/>
          <w:sz w:val="24"/>
          <w:szCs w:val="24"/>
        </w:rPr>
        <w:t>Baku 2017</w:t>
      </w:r>
    </w:p>
    <w:p w:rsidR="00082393" w:rsidRPr="000F6596" w:rsidRDefault="00082393" w:rsidP="00082393">
      <w:pPr>
        <w:contextualSpacing/>
        <w:jc w:val="center"/>
        <w:rPr>
          <w:rFonts w:ascii="Times New Roman" w:eastAsia="Times New Roman" w:hAnsi="Times New Roman"/>
          <w:color w:val="000000"/>
          <w:sz w:val="40"/>
          <w:szCs w:val="40"/>
        </w:rPr>
      </w:pPr>
    </w:p>
    <w:p w:rsidR="00082393" w:rsidRPr="000F6596" w:rsidRDefault="00082393" w:rsidP="00082393">
      <w:pPr>
        <w:contextualSpacing/>
        <w:jc w:val="center"/>
        <w:rPr>
          <w:rFonts w:ascii="Times New Roman" w:eastAsia="Times New Roman" w:hAnsi="Times New Roman"/>
          <w:color w:val="000000"/>
          <w:sz w:val="40"/>
          <w:szCs w:val="40"/>
          <w:lang w:val="en-US"/>
        </w:rPr>
      </w:pPr>
    </w:p>
    <w:p w:rsidR="00F23D0C" w:rsidRDefault="00F23D0C" w:rsidP="00AB3822">
      <w:pPr>
        <w:rPr>
          <w:rFonts w:ascii="Times New Roman" w:hAnsi="Times New Roman"/>
          <w:sz w:val="24"/>
          <w:szCs w:val="24"/>
        </w:rPr>
      </w:pPr>
    </w:p>
    <w:p w:rsidR="005E538D" w:rsidRDefault="005E538D" w:rsidP="00AB3822">
      <w:pPr>
        <w:rPr>
          <w:rFonts w:ascii="Times New Roman" w:hAnsi="Times New Roman"/>
          <w:sz w:val="24"/>
          <w:szCs w:val="24"/>
        </w:rPr>
      </w:pPr>
    </w:p>
    <w:p w:rsidR="00155D86" w:rsidRDefault="00155D86" w:rsidP="00AB3822">
      <w:pPr>
        <w:rPr>
          <w:rFonts w:ascii="Times New Roman" w:hAnsi="Times New Roman"/>
          <w:b/>
          <w:sz w:val="24"/>
          <w:szCs w:val="24"/>
        </w:rPr>
      </w:pPr>
    </w:p>
    <w:p w:rsidR="00155D86" w:rsidRDefault="00155D86" w:rsidP="00AB3822">
      <w:pPr>
        <w:rPr>
          <w:rFonts w:ascii="Times New Roman" w:hAnsi="Times New Roman"/>
          <w:b/>
          <w:sz w:val="24"/>
          <w:szCs w:val="24"/>
        </w:rPr>
      </w:pPr>
    </w:p>
    <w:p w:rsidR="00B934DF" w:rsidRPr="00AB3822" w:rsidRDefault="00B934DF" w:rsidP="00AB3822">
      <w:pPr>
        <w:rPr>
          <w:rFonts w:ascii="Times New Roman" w:hAnsi="Times New Roman"/>
          <w:sz w:val="24"/>
          <w:szCs w:val="24"/>
        </w:rPr>
      </w:pPr>
      <w:r w:rsidRPr="00BD6815">
        <w:rPr>
          <w:rFonts w:ascii="Times New Roman" w:hAnsi="Times New Roman"/>
          <w:b/>
          <w:sz w:val="24"/>
          <w:szCs w:val="24"/>
        </w:rPr>
        <w:t>ABSTRACT</w:t>
      </w:r>
    </w:p>
    <w:p w:rsidR="00B934DF" w:rsidRPr="00BD6815" w:rsidRDefault="00B934DF" w:rsidP="00B934DF">
      <w:pPr>
        <w:jc w:val="both"/>
        <w:rPr>
          <w:rFonts w:ascii="Times New Roman" w:hAnsi="Times New Roman"/>
          <w:sz w:val="24"/>
          <w:szCs w:val="24"/>
        </w:rPr>
      </w:pPr>
      <w:r w:rsidRPr="00BD6815">
        <w:rPr>
          <w:rFonts w:ascii="Times New Roman" w:hAnsi="Times New Roman"/>
          <w:sz w:val="24"/>
        </w:rPr>
        <w:t xml:space="preserve">This report examines Azerbaijan's legislation on political party and election funding and its implementation against guidelines and recommendations of the Venice Commission and Group of </w:t>
      </w:r>
      <w:r w:rsidR="008F2133">
        <w:rPr>
          <w:rFonts w:ascii="Times New Roman" w:hAnsi="Times New Roman"/>
          <w:sz w:val="24"/>
        </w:rPr>
        <w:t>States</w:t>
      </w:r>
      <w:r w:rsidR="008F2133" w:rsidRPr="00BD6815">
        <w:rPr>
          <w:rFonts w:ascii="Times New Roman" w:hAnsi="Times New Roman"/>
          <w:sz w:val="24"/>
        </w:rPr>
        <w:t xml:space="preserve"> against</w:t>
      </w:r>
      <w:r w:rsidRPr="00BD6815">
        <w:rPr>
          <w:rFonts w:ascii="Times New Roman" w:hAnsi="Times New Roman"/>
          <w:sz w:val="24"/>
        </w:rPr>
        <w:t xml:space="preserve"> Corruption (GRECO) of the Council of Europe, as well as the Office for Democratic Institute and Human Rights of the Organization for Security and Cooperation in Europe (OSCE/ODIHR), </w:t>
      </w:r>
      <w:r w:rsidR="008F2133" w:rsidRPr="00BD6815">
        <w:rPr>
          <w:rFonts w:ascii="Times New Roman" w:hAnsi="Times New Roman"/>
          <w:sz w:val="24"/>
        </w:rPr>
        <w:t>International</w:t>
      </w:r>
      <w:r w:rsidR="008F2133">
        <w:rPr>
          <w:rFonts w:ascii="Times New Roman" w:hAnsi="Times New Roman"/>
          <w:sz w:val="24"/>
        </w:rPr>
        <w:t xml:space="preserve"> </w:t>
      </w:r>
      <w:r w:rsidRPr="00BD6815">
        <w:rPr>
          <w:rFonts w:ascii="Times New Roman" w:hAnsi="Times New Roman"/>
          <w:sz w:val="24"/>
        </w:rPr>
        <w:t xml:space="preserve">IDEA. </w:t>
      </w:r>
      <w:r w:rsidRPr="00BD6815">
        <w:rPr>
          <w:rFonts w:ascii="Times New Roman" w:hAnsi="Times New Roman"/>
          <w:sz w:val="24"/>
          <w:szCs w:val="24"/>
          <w:lang w:eastAsia="ru-RU"/>
        </w:rPr>
        <w:t xml:space="preserve">Azerbaijan's legislation on political party and campaign financing, use of administrative resources are largely in line with international standards with some exceptions. Engagement with the Council of Europe, GRECO and the OSCE/ODIHR has partially aided to this compliance. However, in practice political parties do not have equal and sufficient access to financing due to range of restrictions and lack of pluralistic political system. </w:t>
      </w:r>
    </w:p>
    <w:p w:rsidR="00B934DF" w:rsidRDefault="00B934DF" w:rsidP="00BB1874">
      <w:pPr>
        <w:rPr>
          <w:rFonts w:ascii="Times New Roman" w:hAnsi="Times New Roman"/>
          <w:sz w:val="24"/>
          <w:szCs w:val="24"/>
        </w:rPr>
      </w:pPr>
    </w:p>
    <w:p w:rsidR="00B934DF" w:rsidRDefault="00B934DF" w:rsidP="00BB1874">
      <w:pPr>
        <w:rPr>
          <w:rFonts w:ascii="Times New Roman" w:hAnsi="Times New Roman"/>
          <w:sz w:val="24"/>
          <w:szCs w:val="24"/>
        </w:rPr>
      </w:pPr>
    </w:p>
    <w:p w:rsidR="00B934DF" w:rsidRDefault="00B934DF" w:rsidP="00BB1874">
      <w:pPr>
        <w:rPr>
          <w:rFonts w:ascii="Times New Roman" w:hAnsi="Times New Roman"/>
          <w:sz w:val="24"/>
          <w:szCs w:val="24"/>
        </w:rPr>
      </w:pPr>
    </w:p>
    <w:p w:rsidR="00B934DF" w:rsidRDefault="00B934DF" w:rsidP="00BB1874">
      <w:pPr>
        <w:rPr>
          <w:rFonts w:ascii="Times New Roman" w:hAnsi="Times New Roman"/>
          <w:sz w:val="24"/>
          <w:szCs w:val="24"/>
        </w:rPr>
      </w:pPr>
    </w:p>
    <w:p w:rsidR="00B934DF" w:rsidRDefault="00B934DF" w:rsidP="00BB1874">
      <w:pPr>
        <w:rPr>
          <w:rFonts w:ascii="Times New Roman" w:hAnsi="Times New Roman"/>
          <w:sz w:val="24"/>
          <w:szCs w:val="24"/>
        </w:rPr>
      </w:pPr>
    </w:p>
    <w:p w:rsidR="00B934DF" w:rsidRDefault="00B934DF" w:rsidP="00BB1874">
      <w:pPr>
        <w:rPr>
          <w:rFonts w:ascii="Times New Roman" w:hAnsi="Times New Roman"/>
          <w:sz w:val="24"/>
          <w:szCs w:val="24"/>
        </w:rPr>
      </w:pPr>
    </w:p>
    <w:p w:rsidR="00B934DF" w:rsidRDefault="00B934DF" w:rsidP="00BB1874">
      <w:pPr>
        <w:rPr>
          <w:rFonts w:ascii="Times New Roman" w:hAnsi="Times New Roman"/>
          <w:sz w:val="24"/>
          <w:szCs w:val="24"/>
        </w:rPr>
      </w:pPr>
    </w:p>
    <w:p w:rsidR="00B934DF" w:rsidRDefault="00B934DF" w:rsidP="00BB1874">
      <w:pPr>
        <w:rPr>
          <w:rFonts w:ascii="Times New Roman" w:hAnsi="Times New Roman"/>
          <w:sz w:val="24"/>
          <w:szCs w:val="24"/>
        </w:rPr>
      </w:pPr>
    </w:p>
    <w:p w:rsidR="00B934DF" w:rsidRDefault="00B934DF" w:rsidP="00BB1874">
      <w:pPr>
        <w:rPr>
          <w:rFonts w:ascii="Times New Roman" w:hAnsi="Times New Roman"/>
          <w:sz w:val="24"/>
          <w:szCs w:val="24"/>
        </w:rPr>
      </w:pPr>
    </w:p>
    <w:p w:rsidR="00B934DF" w:rsidRDefault="00B934DF" w:rsidP="00BB1874">
      <w:pPr>
        <w:rPr>
          <w:rFonts w:ascii="Times New Roman" w:hAnsi="Times New Roman"/>
          <w:sz w:val="24"/>
          <w:szCs w:val="24"/>
        </w:rPr>
      </w:pPr>
    </w:p>
    <w:p w:rsidR="00B934DF" w:rsidRDefault="00B934DF" w:rsidP="00BB1874">
      <w:pPr>
        <w:rPr>
          <w:rFonts w:ascii="Times New Roman" w:hAnsi="Times New Roman"/>
          <w:sz w:val="24"/>
          <w:szCs w:val="24"/>
        </w:rPr>
      </w:pPr>
    </w:p>
    <w:p w:rsidR="00B934DF" w:rsidRDefault="00B934DF" w:rsidP="00BB1874">
      <w:pPr>
        <w:rPr>
          <w:rFonts w:ascii="Times New Roman" w:hAnsi="Times New Roman"/>
          <w:sz w:val="24"/>
          <w:szCs w:val="24"/>
        </w:rPr>
      </w:pPr>
    </w:p>
    <w:p w:rsidR="00B934DF" w:rsidRDefault="00B934DF" w:rsidP="00BB1874">
      <w:pPr>
        <w:rPr>
          <w:rFonts w:ascii="Times New Roman" w:hAnsi="Times New Roman"/>
          <w:sz w:val="24"/>
          <w:szCs w:val="24"/>
        </w:rPr>
      </w:pPr>
    </w:p>
    <w:p w:rsidR="00AB3822" w:rsidRDefault="00AB3822" w:rsidP="00BB1874">
      <w:pPr>
        <w:rPr>
          <w:rFonts w:ascii="Times New Roman" w:hAnsi="Times New Roman"/>
          <w:sz w:val="24"/>
          <w:szCs w:val="24"/>
        </w:rPr>
      </w:pPr>
    </w:p>
    <w:p w:rsidR="00AB3822" w:rsidRDefault="00AB3822" w:rsidP="00BB1874">
      <w:pPr>
        <w:rPr>
          <w:rFonts w:ascii="Times New Roman" w:hAnsi="Times New Roman"/>
          <w:sz w:val="24"/>
          <w:szCs w:val="24"/>
        </w:rPr>
      </w:pPr>
    </w:p>
    <w:p w:rsidR="00AB3822" w:rsidRDefault="00AB3822" w:rsidP="00BB1874">
      <w:pPr>
        <w:rPr>
          <w:rFonts w:ascii="Times New Roman" w:hAnsi="Times New Roman"/>
          <w:sz w:val="24"/>
          <w:szCs w:val="24"/>
        </w:rPr>
      </w:pPr>
    </w:p>
    <w:p w:rsidR="00AB3822" w:rsidRPr="00717D87" w:rsidRDefault="00AB3822" w:rsidP="00BB1874">
      <w:pPr>
        <w:rPr>
          <w:rFonts w:ascii="Sylfaen" w:hAnsi="Sylfaen"/>
          <w:sz w:val="24"/>
          <w:szCs w:val="24"/>
          <w:lang w:val="ka-GE"/>
        </w:rPr>
      </w:pPr>
    </w:p>
    <w:p w:rsidR="00D90FDE" w:rsidRDefault="00D90FDE" w:rsidP="00BB1874">
      <w:pPr>
        <w:rPr>
          <w:rFonts w:ascii="Times New Roman" w:hAnsi="Times New Roman"/>
          <w:b/>
          <w:sz w:val="24"/>
          <w:szCs w:val="24"/>
        </w:rPr>
      </w:pPr>
    </w:p>
    <w:p w:rsidR="005D3F10" w:rsidRPr="00BD6815" w:rsidRDefault="005D3F10" w:rsidP="00BB1874">
      <w:pPr>
        <w:rPr>
          <w:rFonts w:ascii="Times New Roman" w:hAnsi="Times New Roman"/>
          <w:b/>
          <w:sz w:val="24"/>
          <w:szCs w:val="24"/>
        </w:rPr>
      </w:pPr>
      <w:r w:rsidRPr="00BD6815">
        <w:rPr>
          <w:rFonts w:ascii="Times New Roman" w:hAnsi="Times New Roman"/>
          <w:b/>
          <w:sz w:val="24"/>
          <w:szCs w:val="24"/>
        </w:rPr>
        <w:t>BACKGROUND</w:t>
      </w:r>
    </w:p>
    <w:p w:rsidR="00041ABE" w:rsidRPr="00BD6815" w:rsidRDefault="00041ABE" w:rsidP="002C374F">
      <w:pPr>
        <w:jc w:val="both"/>
        <w:rPr>
          <w:rFonts w:ascii="Times New Roman" w:hAnsi="Times New Roman"/>
          <w:sz w:val="24"/>
        </w:rPr>
      </w:pPr>
      <w:r w:rsidRPr="00BD6815">
        <w:rPr>
          <w:rFonts w:ascii="Times New Roman" w:hAnsi="Times New Roman"/>
          <w:sz w:val="24"/>
        </w:rPr>
        <w:t>This report examine</w:t>
      </w:r>
      <w:r w:rsidR="00BB1874" w:rsidRPr="00BD6815">
        <w:rPr>
          <w:rFonts w:ascii="Times New Roman" w:hAnsi="Times New Roman"/>
          <w:sz w:val="24"/>
        </w:rPr>
        <w:t>s</w:t>
      </w:r>
      <w:r w:rsidRPr="00BD6815">
        <w:rPr>
          <w:rFonts w:ascii="Times New Roman" w:hAnsi="Times New Roman"/>
          <w:sz w:val="24"/>
        </w:rPr>
        <w:t xml:space="preserve"> Azerbaijan's legislation</w:t>
      </w:r>
      <w:r w:rsidR="00DF32CC" w:rsidRPr="00BD6815">
        <w:rPr>
          <w:rFonts w:ascii="Times New Roman" w:hAnsi="Times New Roman"/>
          <w:sz w:val="24"/>
        </w:rPr>
        <w:t xml:space="preserve"> on political party/campaign finance</w:t>
      </w:r>
      <w:r w:rsidRPr="00BD6815">
        <w:rPr>
          <w:rFonts w:ascii="Times New Roman" w:hAnsi="Times New Roman"/>
          <w:sz w:val="24"/>
        </w:rPr>
        <w:t xml:space="preserve"> and </w:t>
      </w:r>
      <w:r w:rsidR="008016E6">
        <w:rPr>
          <w:rFonts w:ascii="Times New Roman" w:hAnsi="Times New Roman"/>
          <w:sz w:val="24"/>
        </w:rPr>
        <w:t>use</w:t>
      </w:r>
      <w:r w:rsidR="00DF32CC" w:rsidRPr="00BD6815">
        <w:rPr>
          <w:rFonts w:ascii="Times New Roman" w:hAnsi="Times New Roman"/>
          <w:sz w:val="24"/>
        </w:rPr>
        <w:t xml:space="preserve"> of administrative resources, </w:t>
      </w:r>
      <w:r w:rsidRPr="00BD6815">
        <w:rPr>
          <w:rFonts w:ascii="Times New Roman" w:hAnsi="Times New Roman"/>
          <w:sz w:val="24"/>
        </w:rPr>
        <w:t xml:space="preserve">its implementation against guidelines and recommendations of the Venice Commission and Group of </w:t>
      </w:r>
      <w:r w:rsidR="008F2133">
        <w:rPr>
          <w:rFonts w:ascii="Times New Roman" w:hAnsi="Times New Roman"/>
          <w:sz w:val="24"/>
        </w:rPr>
        <w:t>States</w:t>
      </w:r>
      <w:r w:rsidR="008F2133" w:rsidRPr="00BD6815">
        <w:rPr>
          <w:rFonts w:ascii="Times New Roman" w:hAnsi="Times New Roman"/>
          <w:sz w:val="24"/>
        </w:rPr>
        <w:t xml:space="preserve"> against</w:t>
      </w:r>
      <w:r w:rsidRPr="00BD6815">
        <w:rPr>
          <w:rFonts w:ascii="Times New Roman" w:hAnsi="Times New Roman"/>
          <w:sz w:val="24"/>
        </w:rPr>
        <w:t xml:space="preserve"> Corruption (GRECO) of the Council of Europe, as well as the Office for Democratic Institute and Human Rights of the Organization for Security and Cooperation in Europe (OSCE/ODIHR). </w:t>
      </w:r>
      <w:r w:rsidR="00A111E4" w:rsidRPr="00BD6815">
        <w:rPr>
          <w:rFonts w:ascii="Times New Roman" w:hAnsi="Times New Roman"/>
          <w:sz w:val="24"/>
        </w:rPr>
        <w:t>These guidelines and recommendations are referred as international standards in the rest of the paper.</w:t>
      </w:r>
    </w:p>
    <w:p w:rsidR="005D3F10" w:rsidRPr="00BD6815" w:rsidRDefault="005D3F10" w:rsidP="002C374F">
      <w:pPr>
        <w:jc w:val="both"/>
        <w:rPr>
          <w:rFonts w:ascii="Times New Roman" w:hAnsi="Times New Roman"/>
          <w:sz w:val="24"/>
        </w:rPr>
      </w:pPr>
      <w:r w:rsidRPr="00BD6815">
        <w:rPr>
          <w:rFonts w:ascii="Times New Roman" w:hAnsi="Times New Roman"/>
          <w:sz w:val="24"/>
        </w:rPr>
        <w:t>Azerbaijan gained its independence following the collapse of Soviet Union in October 1991 and joined the Organization for Security and Cooperation in Europe (OSCE</w:t>
      </w:r>
      <w:r w:rsidRPr="00BD6815">
        <w:rPr>
          <w:rStyle w:val="FootnoteReference"/>
          <w:rFonts w:ascii="Times New Roman" w:hAnsi="Times New Roman"/>
          <w:sz w:val="24"/>
        </w:rPr>
        <w:footnoteReference w:id="2"/>
      </w:r>
      <w:r w:rsidRPr="00BD6815">
        <w:rPr>
          <w:rFonts w:ascii="Times New Roman" w:hAnsi="Times New Roman"/>
          <w:sz w:val="24"/>
        </w:rPr>
        <w:t>) few months later undertaking commitments on democracy and human rights. The country became a member of the Council of Europe in 2001 and ratified the European Convention on Human Rights a year later committing to further international obligations with regards to the rule of law and democracy.</w:t>
      </w:r>
    </w:p>
    <w:p w:rsidR="00484661" w:rsidRPr="00BD6815" w:rsidRDefault="00484661" w:rsidP="00484661">
      <w:pPr>
        <w:jc w:val="both"/>
        <w:rPr>
          <w:rFonts w:ascii="Times New Roman" w:hAnsi="Times New Roman"/>
          <w:sz w:val="24"/>
        </w:rPr>
      </w:pPr>
      <w:r w:rsidRPr="00BD6815">
        <w:rPr>
          <w:rFonts w:ascii="Times New Roman" w:hAnsi="Times New Roman"/>
          <w:sz w:val="24"/>
        </w:rPr>
        <w:t>Azerbaijan has a presidential system with large powers bestowed upon the executive branch. Currently, 55 political parties are registered in Azerbaijan, but very few of them play any role in the political life of the country of 9.7 million. The ruling New Azerbaijani Party (YAP) dominates the political landscape and controls 71 of 125 seats of the single-chamber parliament. YAP has offices across the country and reported 7.8 million</w:t>
      </w:r>
      <w:r w:rsidRPr="007A3656">
        <w:rPr>
          <w:rFonts w:ascii="Times New Roman" w:hAnsi="Times New Roman"/>
          <w:sz w:val="24"/>
        </w:rPr>
        <w:t xml:space="preserve"> </w:t>
      </w:r>
      <w:proofErr w:type="spellStart"/>
      <w:r w:rsidRPr="007A3656">
        <w:rPr>
          <w:rFonts w:ascii="Times New Roman" w:hAnsi="Times New Roman"/>
          <w:sz w:val="24"/>
        </w:rPr>
        <w:t>manat</w:t>
      </w:r>
      <w:proofErr w:type="spellEnd"/>
      <w:r w:rsidRPr="00BD6815">
        <w:rPr>
          <w:rFonts w:ascii="Times New Roman" w:hAnsi="Times New Roman"/>
          <w:sz w:val="24"/>
        </w:rPr>
        <w:t xml:space="preserve"> ($5 </w:t>
      </w:r>
      <w:proofErr w:type="spellStart"/>
      <w:r w:rsidRPr="00BD6815">
        <w:rPr>
          <w:rFonts w:ascii="Times New Roman" w:hAnsi="Times New Roman"/>
          <w:sz w:val="24"/>
        </w:rPr>
        <w:t>milion</w:t>
      </w:r>
      <w:proofErr w:type="spellEnd"/>
      <w:r w:rsidRPr="00BD6815">
        <w:rPr>
          <w:rFonts w:ascii="Times New Roman" w:hAnsi="Times New Roman"/>
          <w:sz w:val="24"/>
        </w:rPr>
        <w:t xml:space="preserve">) annual budget in 2016. </w:t>
      </w:r>
    </w:p>
    <w:p w:rsidR="008016E6" w:rsidRDefault="00484661" w:rsidP="002C374F">
      <w:pPr>
        <w:jc w:val="both"/>
        <w:rPr>
          <w:rFonts w:ascii="Times New Roman" w:hAnsi="Times New Roman"/>
          <w:sz w:val="24"/>
        </w:rPr>
      </w:pPr>
      <w:r w:rsidRPr="00BD6815">
        <w:rPr>
          <w:rFonts w:ascii="Times New Roman" w:hAnsi="Times New Roman"/>
          <w:sz w:val="24"/>
        </w:rPr>
        <w:t xml:space="preserve">Non-partisan members of parliament (MPs) </w:t>
      </w:r>
      <w:r w:rsidRPr="00BD6815">
        <w:rPr>
          <w:rFonts w:ascii="Times New Roman" w:hAnsi="Times New Roman"/>
          <w:sz w:val="24"/>
        </w:rPr>
        <w:sym w:font="Symbol" w:char="F02D"/>
      </w:r>
      <w:r w:rsidRPr="00BD6815">
        <w:rPr>
          <w:rFonts w:ascii="Times New Roman" w:hAnsi="Times New Roman"/>
          <w:sz w:val="24"/>
        </w:rPr>
        <w:t xml:space="preserve"> often referred as independents </w:t>
      </w:r>
      <w:r w:rsidRPr="00BD6815">
        <w:rPr>
          <w:rFonts w:ascii="Times New Roman" w:hAnsi="Times New Roman"/>
          <w:sz w:val="24"/>
        </w:rPr>
        <w:sym w:font="Symbol" w:char="F02D"/>
      </w:r>
      <w:r w:rsidRPr="00BD6815">
        <w:rPr>
          <w:rFonts w:ascii="Times New Roman" w:hAnsi="Times New Roman"/>
          <w:sz w:val="24"/>
        </w:rPr>
        <w:t xml:space="preserve"> make up the second largest group with 42 seats, while the remaining 12 seats are divided among 11 opposition parties. Opposition parties remain fragmented and marginalized. Popular Front Party (PFP) and </w:t>
      </w:r>
      <w:proofErr w:type="spellStart"/>
      <w:r w:rsidRPr="00BD6815">
        <w:rPr>
          <w:rFonts w:ascii="Times New Roman" w:hAnsi="Times New Roman"/>
          <w:sz w:val="24"/>
        </w:rPr>
        <w:t>Musavat</w:t>
      </w:r>
      <w:proofErr w:type="spellEnd"/>
      <w:r w:rsidRPr="00BD6815">
        <w:rPr>
          <w:rFonts w:ascii="Times New Roman" w:hAnsi="Times New Roman"/>
          <w:sz w:val="24"/>
        </w:rPr>
        <w:t xml:space="preserve"> </w:t>
      </w:r>
      <w:r w:rsidRPr="00BD6815">
        <w:rPr>
          <w:rFonts w:ascii="Times New Roman" w:hAnsi="Times New Roman"/>
          <w:sz w:val="24"/>
        </w:rPr>
        <w:sym w:font="Symbol" w:char="F02D"/>
      </w:r>
      <w:r w:rsidRPr="00BD6815">
        <w:rPr>
          <w:rFonts w:ascii="Times New Roman" w:hAnsi="Times New Roman"/>
          <w:sz w:val="24"/>
        </w:rPr>
        <w:t xml:space="preserve"> two largest opposition parties </w:t>
      </w:r>
      <w:r w:rsidRPr="00BD6815">
        <w:rPr>
          <w:rFonts w:ascii="Times New Roman" w:hAnsi="Times New Roman"/>
          <w:sz w:val="24"/>
        </w:rPr>
        <w:sym w:font="Symbol" w:char="F02D"/>
      </w:r>
      <w:r w:rsidRPr="00BD6815">
        <w:rPr>
          <w:rFonts w:ascii="Times New Roman" w:hAnsi="Times New Roman"/>
          <w:sz w:val="24"/>
        </w:rPr>
        <w:t xml:space="preserve"> are not represented in the parliament. </w:t>
      </w:r>
    </w:p>
    <w:p w:rsidR="005D3F10" w:rsidRPr="00BD6815" w:rsidRDefault="00484661" w:rsidP="002C374F">
      <w:pPr>
        <w:jc w:val="both"/>
        <w:rPr>
          <w:rFonts w:ascii="Times New Roman" w:hAnsi="Times New Roman"/>
          <w:sz w:val="24"/>
        </w:rPr>
      </w:pPr>
      <w:r w:rsidRPr="00BD6815">
        <w:rPr>
          <w:rFonts w:ascii="Times New Roman" w:hAnsi="Times New Roman"/>
          <w:sz w:val="24"/>
        </w:rPr>
        <w:t xml:space="preserve">The country's </w:t>
      </w:r>
      <w:r w:rsidR="005D3F10" w:rsidRPr="00BD6815">
        <w:rPr>
          <w:rFonts w:ascii="Times New Roman" w:hAnsi="Times New Roman"/>
          <w:sz w:val="24"/>
        </w:rPr>
        <w:t xml:space="preserve">human rights records and democratic credentials have not been a straightforward success. The Office for Democratic Institutions and Human Rights (ODIHR) of the OSCE, which has observed all presidential and parliamentary elections held in Azerbaijan since 1995 with the exception of the last 2015 Parliamentary Elections, has noted in all of its findings that the country had fallen short of international standards of free and fair elections. The ODIHR decided to cancel its mission in 2015 after Azerbaijani government imposed restrictions on number of observers. </w:t>
      </w:r>
    </w:p>
    <w:p w:rsidR="005D3F10" w:rsidRPr="00BD6815" w:rsidRDefault="005D3F10" w:rsidP="002C374F">
      <w:pPr>
        <w:jc w:val="both"/>
        <w:rPr>
          <w:rFonts w:ascii="Times New Roman" w:hAnsi="Times New Roman"/>
          <w:sz w:val="24"/>
        </w:rPr>
      </w:pPr>
      <w:r w:rsidRPr="00BD6815">
        <w:rPr>
          <w:rFonts w:ascii="Times New Roman" w:hAnsi="Times New Roman"/>
          <w:sz w:val="24"/>
        </w:rPr>
        <w:t xml:space="preserve">The situation of human rights has deteriorated further since 2013. Restrictions introduced to the NGO and grant legislation made accessing funding impossible for independent civil society. The Human Rights Watch states that "the space for independent activism, critical journalism, and opposition political activity has been virtually extinguished by the arrests and convictions of many activists, human rights defenders, and journalists, as well as by laws and regulations restricting the activities of independent groups and their ability to secure funding". </w:t>
      </w:r>
    </w:p>
    <w:p w:rsidR="005D3F10" w:rsidRDefault="005D3F10" w:rsidP="002C374F">
      <w:pPr>
        <w:jc w:val="both"/>
        <w:rPr>
          <w:rFonts w:ascii="Times New Roman" w:hAnsi="Times New Roman"/>
          <w:sz w:val="24"/>
          <w:szCs w:val="24"/>
        </w:rPr>
      </w:pPr>
    </w:p>
    <w:p w:rsidR="00D90FDE" w:rsidRDefault="00D90FDE" w:rsidP="002C374F">
      <w:pPr>
        <w:jc w:val="both"/>
        <w:rPr>
          <w:rFonts w:ascii="Times New Roman" w:hAnsi="Times New Roman"/>
          <w:sz w:val="24"/>
          <w:szCs w:val="24"/>
        </w:rPr>
      </w:pPr>
    </w:p>
    <w:p w:rsidR="00D90FDE" w:rsidRPr="00BD6815" w:rsidRDefault="00D90FDE" w:rsidP="002C374F">
      <w:pPr>
        <w:jc w:val="both"/>
        <w:rPr>
          <w:rFonts w:ascii="Times New Roman" w:hAnsi="Times New Roman"/>
          <w:sz w:val="24"/>
          <w:szCs w:val="24"/>
        </w:rPr>
      </w:pPr>
    </w:p>
    <w:p w:rsidR="00D90FDE" w:rsidRDefault="00D90FDE" w:rsidP="002C374F">
      <w:pPr>
        <w:jc w:val="both"/>
        <w:rPr>
          <w:rFonts w:ascii="Times New Roman" w:hAnsi="Times New Roman"/>
          <w:b/>
          <w:sz w:val="24"/>
          <w:szCs w:val="24"/>
        </w:rPr>
      </w:pPr>
    </w:p>
    <w:p w:rsidR="005D3F10" w:rsidRPr="00BD6815" w:rsidRDefault="005D3F10" w:rsidP="002C374F">
      <w:pPr>
        <w:jc w:val="both"/>
        <w:rPr>
          <w:rFonts w:ascii="Times New Roman" w:hAnsi="Times New Roman"/>
          <w:b/>
          <w:sz w:val="24"/>
          <w:szCs w:val="24"/>
        </w:rPr>
      </w:pPr>
      <w:r w:rsidRPr="00BD6815">
        <w:rPr>
          <w:rFonts w:ascii="Times New Roman" w:hAnsi="Times New Roman"/>
          <w:b/>
          <w:sz w:val="24"/>
          <w:szCs w:val="24"/>
        </w:rPr>
        <w:t>LEGISLATION AND POLICY ANALYSIS</w:t>
      </w:r>
      <w:r w:rsidR="0088588C" w:rsidRPr="00BD6815">
        <w:rPr>
          <w:rFonts w:ascii="Times New Roman" w:hAnsi="Times New Roman"/>
          <w:b/>
          <w:sz w:val="24"/>
          <w:szCs w:val="24"/>
        </w:rPr>
        <w:t xml:space="preserve"> </w:t>
      </w:r>
    </w:p>
    <w:p w:rsidR="00515282" w:rsidRPr="00BD6815" w:rsidRDefault="006C793E" w:rsidP="002C374F">
      <w:pPr>
        <w:spacing w:before="120" w:after="120" w:line="260" w:lineRule="exact"/>
        <w:jc w:val="both"/>
        <w:rPr>
          <w:rFonts w:ascii="Times New Roman" w:hAnsi="Times New Roman"/>
          <w:sz w:val="24"/>
          <w:szCs w:val="24"/>
        </w:rPr>
      </w:pPr>
      <w:r w:rsidRPr="00BD6815">
        <w:rPr>
          <w:rFonts w:ascii="Times New Roman" w:hAnsi="Times New Roman"/>
          <w:sz w:val="24"/>
          <w:szCs w:val="24"/>
        </w:rPr>
        <w:t xml:space="preserve">Political party and campaign financing in Azerbaijan are mainly regulated by the </w:t>
      </w:r>
      <w:r w:rsidR="00E454E0" w:rsidRPr="00BD6815">
        <w:rPr>
          <w:rFonts w:ascii="Times New Roman" w:hAnsi="Times New Roman"/>
          <w:sz w:val="24"/>
          <w:szCs w:val="24"/>
        </w:rPr>
        <w:t xml:space="preserve">Election Code </w:t>
      </w:r>
      <w:r w:rsidRPr="00BD6815">
        <w:rPr>
          <w:rFonts w:ascii="Times New Roman" w:hAnsi="Times New Roman"/>
          <w:sz w:val="24"/>
          <w:szCs w:val="24"/>
        </w:rPr>
        <w:t xml:space="preserve">(2003) </w:t>
      </w:r>
      <w:r w:rsidR="00E454E0" w:rsidRPr="00BD6815">
        <w:rPr>
          <w:rFonts w:ascii="Times New Roman" w:hAnsi="Times New Roman"/>
          <w:sz w:val="24"/>
          <w:szCs w:val="24"/>
        </w:rPr>
        <w:t>and</w:t>
      </w:r>
      <w:r w:rsidR="00D94F0C" w:rsidRPr="00BD6815">
        <w:rPr>
          <w:rFonts w:ascii="Times New Roman" w:hAnsi="Times New Roman"/>
          <w:sz w:val="24"/>
          <w:szCs w:val="24"/>
        </w:rPr>
        <w:t xml:space="preserve"> Law on Political Parties (1992)</w:t>
      </w:r>
      <w:r w:rsidR="00E454E0" w:rsidRPr="00BD6815">
        <w:rPr>
          <w:rFonts w:ascii="Times New Roman" w:hAnsi="Times New Roman"/>
          <w:sz w:val="24"/>
          <w:szCs w:val="24"/>
        </w:rPr>
        <w:t xml:space="preserve">. This part of the report </w:t>
      </w:r>
      <w:r w:rsidR="00964CD7" w:rsidRPr="00BD6815">
        <w:rPr>
          <w:rFonts w:ascii="Times New Roman" w:hAnsi="Times New Roman"/>
          <w:sz w:val="24"/>
          <w:szCs w:val="24"/>
        </w:rPr>
        <w:t>analyses</w:t>
      </w:r>
      <w:r w:rsidR="00D94F0C" w:rsidRPr="00BD6815">
        <w:rPr>
          <w:rFonts w:ascii="Times New Roman" w:hAnsi="Times New Roman"/>
          <w:sz w:val="24"/>
          <w:szCs w:val="24"/>
        </w:rPr>
        <w:t xml:space="preserve"> fun</w:t>
      </w:r>
      <w:r w:rsidR="0099322C" w:rsidRPr="00BD6815">
        <w:rPr>
          <w:rFonts w:ascii="Times New Roman" w:hAnsi="Times New Roman"/>
          <w:sz w:val="24"/>
          <w:szCs w:val="24"/>
        </w:rPr>
        <w:t xml:space="preserve">ding of political parties and campaign finance of parties and candidates during election campaign. </w:t>
      </w:r>
    </w:p>
    <w:p w:rsidR="0091568F" w:rsidRPr="00BD6815" w:rsidRDefault="0091568F" w:rsidP="002C374F">
      <w:pPr>
        <w:spacing w:before="120" w:after="120" w:line="260" w:lineRule="exact"/>
        <w:jc w:val="both"/>
        <w:rPr>
          <w:rFonts w:ascii="Times New Roman" w:hAnsi="Times New Roman"/>
          <w:sz w:val="24"/>
          <w:szCs w:val="24"/>
        </w:rPr>
      </w:pPr>
    </w:p>
    <w:p w:rsidR="0088588C" w:rsidRPr="00BD6815" w:rsidRDefault="00AA1F00" w:rsidP="00BB1874">
      <w:pPr>
        <w:numPr>
          <w:ilvl w:val="0"/>
          <w:numId w:val="11"/>
        </w:numPr>
        <w:ind w:left="851"/>
        <w:jc w:val="both"/>
        <w:rPr>
          <w:rFonts w:ascii="Times New Roman" w:hAnsi="Times New Roman"/>
          <w:b/>
          <w:sz w:val="24"/>
          <w:szCs w:val="24"/>
        </w:rPr>
      </w:pPr>
      <w:r w:rsidRPr="00BD6815">
        <w:rPr>
          <w:rFonts w:ascii="Times New Roman" w:hAnsi="Times New Roman"/>
          <w:b/>
          <w:sz w:val="24"/>
          <w:szCs w:val="24"/>
        </w:rPr>
        <w:t>Political party funding</w:t>
      </w:r>
      <w:r w:rsidR="0088588C" w:rsidRPr="00BD6815">
        <w:rPr>
          <w:rFonts w:ascii="Times New Roman" w:hAnsi="Times New Roman"/>
          <w:b/>
          <w:sz w:val="24"/>
          <w:szCs w:val="24"/>
        </w:rPr>
        <w:t xml:space="preserve"> </w:t>
      </w:r>
    </w:p>
    <w:p w:rsidR="002C7D73" w:rsidRPr="00BD6815" w:rsidRDefault="00E454E0" w:rsidP="002C374F">
      <w:pPr>
        <w:spacing w:before="120" w:after="120" w:line="260" w:lineRule="exact"/>
        <w:jc w:val="both"/>
        <w:rPr>
          <w:rFonts w:ascii="Times New Roman" w:hAnsi="Times New Roman"/>
          <w:sz w:val="24"/>
          <w:szCs w:val="24"/>
        </w:rPr>
      </w:pPr>
      <w:r w:rsidRPr="00BD6815">
        <w:rPr>
          <w:rFonts w:ascii="Times New Roman" w:hAnsi="Times New Roman"/>
          <w:b/>
          <w:i/>
          <w:sz w:val="24"/>
          <w:szCs w:val="24"/>
        </w:rPr>
        <w:t>Public f</w:t>
      </w:r>
      <w:r w:rsidR="002C7D73" w:rsidRPr="00BD6815">
        <w:rPr>
          <w:rFonts w:ascii="Times New Roman" w:hAnsi="Times New Roman"/>
          <w:b/>
          <w:i/>
          <w:sz w:val="24"/>
          <w:szCs w:val="24"/>
        </w:rPr>
        <w:t>unding of political parties</w:t>
      </w:r>
    </w:p>
    <w:p w:rsidR="00B41FA7" w:rsidRPr="00BD6815" w:rsidRDefault="00AA1F00" w:rsidP="002C374F">
      <w:pPr>
        <w:spacing w:before="120" w:after="120" w:line="260" w:lineRule="exact"/>
        <w:jc w:val="both"/>
        <w:rPr>
          <w:rFonts w:ascii="Times New Roman" w:hAnsi="Times New Roman"/>
          <w:sz w:val="24"/>
          <w:szCs w:val="24"/>
          <w:highlight w:val="yellow"/>
        </w:rPr>
      </w:pPr>
      <w:r w:rsidRPr="00BD6815">
        <w:rPr>
          <w:rFonts w:ascii="Times New Roman" w:hAnsi="Times New Roman"/>
          <w:sz w:val="24"/>
          <w:szCs w:val="24"/>
        </w:rPr>
        <w:t>International standards recommend public funding for promoting equal participation of political parties and ensuring their independence from influence of donors. Azerbaijan</w:t>
      </w:r>
      <w:r w:rsidR="00E454E0" w:rsidRPr="00BD6815">
        <w:rPr>
          <w:rFonts w:ascii="Times New Roman" w:hAnsi="Times New Roman"/>
          <w:sz w:val="24"/>
          <w:szCs w:val="24"/>
        </w:rPr>
        <w:t xml:space="preserve"> introduced financial support to political parties from the state budget with the </w:t>
      </w:r>
      <w:r w:rsidRPr="00BD6815">
        <w:rPr>
          <w:rFonts w:ascii="Times New Roman" w:hAnsi="Times New Roman"/>
          <w:sz w:val="24"/>
          <w:szCs w:val="24"/>
        </w:rPr>
        <w:t xml:space="preserve">20 April 2012 </w:t>
      </w:r>
      <w:r w:rsidR="00E454E0" w:rsidRPr="00BD6815">
        <w:rPr>
          <w:rFonts w:ascii="Times New Roman" w:hAnsi="Times New Roman"/>
          <w:sz w:val="24"/>
          <w:szCs w:val="24"/>
        </w:rPr>
        <w:t>amendment</w:t>
      </w:r>
      <w:r w:rsidRPr="00BD6815">
        <w:rPr>
          <w:rFonts w:ascii="Times New Roman" w:hAnsi="Times New Roman"/>
          <w:sz w:val="24"/>
          <w:szCs w:val="24"/>
        </w:rPr>
        <w:t>s</w:t>
      </w:r>
      <w:r w:rsidR="00E454E0" w:rsidRPr="00BD6815">
        <w:rPr>
          <w:rFonts w:ascii="Times New Roman" w:hAnsi="Times New Roman"/>
          <w:sz w:val="24"/>
          <w:szCs w:val="24"/>
        </w:rPr>
        <w:t xml:space="preserve"> to the</w:t>
      </w:r>
      <w:r w:rsidR="005907ED" w:rsidRPr="00BD6815">
        <w:rPr>
          <w:rFonts w:ascii="Times New Roman" w:hAnsi="Times New Roman"/>
          <w:sz w:val="24"/>
          <w:szCs w:val="24"/>
        </w:rPr>
        <w:t xml:space="preserve"> Law on Political Parties (Art.17)</w:t>
      </w:r>
      <w:r w:rsidR="00E454E0" w:rsidRPr="00BD6815">
        <w:rPr>
          <w:rFonts w:ascii="Times New Roman" w:hAnsi="Times New Roman"/>
          <w:sz w:val="24"/>
          <w:szCs w:val="24"/>
        </w:rPr>
        <w:t>.</w:t>
      </w:r>
      <w:r w:rsidR="00116699">
        <w:rPr>
          <w:rFonts w:ascii="Times New Roman" w:hAnsi="Times New Roman"/>
          <w:sz w:val="24"/>
          <w:szCs w:val="24"/>
        </w:rPr>
        <w:t xml:space="preserve"> The amendments stipulate</w:t>
      </w:r>
      <w:r w:rsidRPr="00BD6815">
        <w:rPr>
          <w:rFonts w:ascii="Times New Roman" w:hAnsi="Times New Roman"/>
          <w:sz w:val="24"/>
          <w:szCs w:val="24"/>
        </w:rPr>
        <w:t xml:space="preserve"> postelection calculation mechanism for the basis of distribution of financial support. The s</w:t>
      </w:r>
      <w:r w:rsidR="00DF04BC" w:rsidRPr="00BD6815">
        <w:rPr>
          <w:rFonts w:ascii="Times New Roman" w:hAnsi="Times New Roman"/>
          <w:sz w:val="24"/>
          <w:szCs w:val="24"/>
        </w:rPr>
        <w:t xml:space="preserve">tate allocates 2.5 million </w:t>
      </w:r>
      <w:proofErr w:type="spellStart"/>
      <w:r w:rsidR="00DF04BC" w:rsidRPr="00BD6815">
        <w:rPr>
          <w:rFonts w:ascii="Times New Roman" w:hAnsi="Times New Roman"/>
          <w:sz w:val="24"/>
          <w:szCs w:val="24"/>
        </w:rPr>
        <w:t>manats</w:t>
      </w:r>
      <w:proofErr w:type="spellEnd"/>
      <w:r w:rsidR="00DF04BC" w:rsidRPr="00BD6815">
        <w:rPr>
          <w:rFonts w:ascii="Times New Roman" w:hAnsi="Times New Roman"/>
          <w:sz w:val="24"/>
          <w:szCs w:val="24"/>
        </w:rPr>
        <w:t xml:space="preserve"> </w:t>
      </w:r>
      <w:r w:rsidRPr="00BD6815">
        <w:rPr>
          <w:rFonts w:ascii="Times New Roman" w:hAnsi="Times New Roman"/>
          <w:sz w:val="24"/>
          <w:szCs w:val="24"/>
        </w:rPr>
        <w:t>($1</w:t>
      </w:r>
      <w:r w:rsidR="007400BB">
        <w:rPr>
          <w:rFonts w:ascii="Times New Roman" w:hAnsi="Times New Roman"/>
          <w:sz w:val="24"/>
          <w:szCs w:val="24"/>
        </w:rPr>
        <w:t>.</w:t>
      </w:r>
      <w:r w:rsidRPr="00BD6815">
        <w:rPr>
          <w:rFonts w:ascii="Times New Roman" w:hAnsi="Times New Roman"/>
          <w:sz w:val="24"/>
          <w:szCs w:val="24"/>
        </w:rPr>
        <w:t xml:space="preserve">5 million) </w:t>
      </w:r>
      <w:r w:rsidR="00DF04BC" w:rsidRPr="00BD6815">
        <w:rPr>
          <w:rFonts w:ascii="Times New Roman" w:hAnsi="Times New Roman"/>
          <w:sz w:val="24"/>
          <w:szCs w:val="24"/>
        </w:rPr>
        <w:t>every year to political parties divided among according to the following conditions:</w:t>
      </w:r>
    </w:p>
    <w:p w:rsidR="00B41FA7" w:rsidRPr="00BD6815" w:rsidRDefault="00DF04BC" w:rsidP="002C374F">
      <w:pPr>
        <w:numPr>
          <w:ilvl w:val="0"/>
          <w:numId w:val="5"/>
        </w:numPr>
        <w:autoSpaceDE w:val="0"/>
        <w:autoSpaceDN w:val="0"/>
        <w:adjustRightInd w:val="0"/>
        <w:spacing w:before="120" w:after="120" w:line="260" w:lineRule="exact"/>
        <w:jc w:val="both"/>
        <w:rPr>
          <w:rFonts w:ascii="Times New Roman" w:hAnsi="Times New Roman"/>
          <w:sz w:val="24"/>
          <w:szCs w:val="24"/>
        </w:rPr>
      </w:pPr>
      <w:r w:rsidRPr="00BD6815">
        <w:rPr>
          <w:rFonts w:ascii="Times New Roman" w:hAnsi="Times New Roman"/>
          <w:sz w:val="24"/>
          <w:szCs w:val="24"/>
        </w:rPr>
        <w:t>40</w:t>
      </w:r>
      <w:r w:rsidR="00B41FA7" w:rsidRPr="00BD6815">
        <w:rPr>
          <w:rFonts w:ascii="Times New Roman" w:hAnsi="Times New Roman"/>
          <w:sz w:val="24"/>
          <w:szCs w:val="24"/>
        </w:rPr>
        <w:t xml:space="preserve">% of the funds </w:t>
      </w:r>
      <w:r w:rsidRPr="00BD6815">
        <w:rPr>
          <w:rFonts w:ascii="Times New Roman" w:hAnsi="Times New Roman"/>
          <w:sz w:val="24"/>
          <w:szCs w:val="24"/>
        </w:rPr>
        <w:t xml:space="preserve">are </w:t>
      </w:r>
      <w:r w:rsidR="00B41FA7" w:rsidRPr="00BD6815">
        <w:rPr>
          <w:rFonts w:ascii="Times New Roman" w:hAnsi="Times New Roman"/>
          <w:sz w:val="24"/>
          <w:szCs w:val="24"/>
        </w:rPr>
        <w:t>equally divided among political parties represented in the Parliament;</w:t>
      </w:r>
    </w:p>
    <w:p w:rsidR="00B41FA7" w:rsidRPr="00BD6815" w:rsidRDefault="00DF04BC" w:rsidP="002C374F">
      <w:pPr>
        <w:numPr>
          <w:ilvl w:val="0"/>
          <w:numId w:val="5"/>
        </w:numPr>
        <w:autoSpaceDE w:val="0"/>
        <w:autoSpaceDN w:val="0"/>
        <w:adjustRightInd w:val="0"/>
        <w:spacing w:before="120" w:after="120" w:line="260" w:lineRule="exact"/>
        <w:jc w:val="both"/>
        <w:rPr>
          <w:rFonts w:ascii="Times New Roman" w:hAnsi="Times New Roman"/>
          <w:sz w:val="24"/>
          <w:szCs w:val="24"/>
        </w:rPr>
      </w:pPr>
      <w:r w:rsidRPr="00BD6815">
        <w:rPr>
          <w:rFonts w:ascii="Times New Roman" w:hAnsi="Times New Roman"/>
          <w:sz w:val="24"/>
          <w:szCs w:val="24"/>
        </w:rPr>
        <w:t>50</w:t>
      </w:r>
      <w:r w:rsidR="00B41FA7" w:rsidRPr="00BD6815">
        <w:rPr>
          <w:rFonts w:ascii="Times New Roman" w:hAnsi="Times New Roman"/>
          <w:sz w:val="24"/>
          <w:szCs w:val="24"/>
        </w:rPr>
        <w:t xml:space="preserve">% </w:t>
      </w:r>
      <w:r w:rsidRPr="00BD6815">
        <w:rPr>
          <w:rFonts w:ascii="Times New Roman" w:hAnsi="Times New Roman"/>
          <w:sz w:val="24"/>
          <w:szCs w:val="24"/>
        </w:rPr>
        <w:t>is</w:t>
      </w:r>
      <w:r w:rsidR="00B41FA7" w:rsidRPr="00BD6815">
        <w:rPr>
          <w:rFonts w:ascii="Times New Roman" w:hAnsi="Times New Roman"/>
          <w:sz w:val="24"/>
          <w:szCs w:val="24"/>
        </w:rPr>
        <w:t xml:space="preserve"> divided </w:t>
      </w:r>
      <w:r w:rsidRPr="00BD6815">
        <w:rPr>
          <w:rFonts w:ascii="Times New Roman" w:hAnsi="Times New Roman"/>
          <w:sz w:val="24"/>
          <w:szCs w:val="24"/>
        </w:rPr>
        <w:t xml:space="preserve">among political parties represented in the parliament </w:t>
      </w:r>
      <w:r w:rsidR="00B41FA7" w:rsidRPr="00BD6815">
        <w:rPr>
          <w:rFonts w:ascii="Times New Roman" w:hAnsi="Times New Roman"/>
          <w:sz w:val="24"/>
          <w:szCs w:val="24"/>
        </w:rPr>
        <w:t>proportionally to the number of elected deputies;</w:t>
      </w:r>
    </w:p>
    <w:p w:rsidR="00B41FA7" w:rsidRPr="00BD6815" w:rsidRDefault="00DF04BC" w:rsidP="002C374F">
      <w:pPr>
        <w:numPr>
          <w:ilvl w:val="0"/>
          <w:numId w:val="5"/>
        </w:numPr>
        <w:autoSpaceDE w:val="0"/>
        <w:autoSpaceDN w:val="0"/>
        <w:adjustRightInd w:val="0"/>
        <w:spacing w:before="120" w:after="120" w:line="260" w:lineRule="exact"/>
        <w:jc w:val="both"/>
        <w:rPr>
          <w:rFonts w:ascii="Times New Roman" w:hAnsi="Times New Roman"/>
          <w:sz w:val="24"/>
          <w:szCs w:val="24"/>
        </w:rPr>
      </w:pPr>
      <w:r w:rsidRPr="00BD6815">
        <w:rPr>
          <w:rFonts w:ascii="Times New Roman" w:hAnsi="Times New Roman"/>
          <w:sz w:val="24"/>
          <w:szCs w:val="24"/>
        </w:rPr>
        <w:t>10</w:t>
      </w:r>
      <w:r w:rsidR="00B41FA7" w:rsidRPr="00BD6815">
        <w:rPr>
          <w:rFonts w:ascii="Times New Roman" w:hAnsi="Times New Roman"/>
          <w:sz w:val="24"/>
          <w:szCs w:val="24"/>
        </w:rPr>
        <w:t xml:space="preserve">% </w:t>
      </w:r>
      <w:r w:rsidRPr="00BD6815">
        <w:rPr>
          <w:rFonts w:ascii="Times New Roman" w:hAnsi="Times New Roman"/>
          <w:sz w:val="24"/>
          <w:szCs w:val="24"/>
        </w:rPr>
        <w:t>is</w:t>
      </w:r>
      <w:r w:rsidR="00B41FA7" w:rsidRPr="00BD6815">
        <w:rPr>
          <w:rFonts w:ascii="Times New Roman" w:hAnsi="Times New Roman"/>
          <w:sz w:val="24"/>
          <w:szCs w:val="24"/>
        </w:rPr>
        <w:t xml:space="preserve"> </w:t>
      </w:r>
      <w:r w:rsidRPr="00BD6815">
        <w:rPr>
          <w:rFonts w:ascii="Times New Roman" w:hAnsi="Times New Roman"/>
          <w:sz w:val="24"/>
          <w:szCs w:val="24"/>
        </w:rPr>
        <w:t>allocated</w:t>
      </w:r>
      <w:r w:rsidR="00B41FA7" w:rsidRPr="00BD6815">
        <w:rPr>
          <w:rFonts w:ascii="Times New Roman" w:hAnsi="Times New Roman"/>
          <w:sz w:val="24"/>
          <w:szCs w:val="24"/>
        </w:rPr>
        <w:t xml:space="preserve"> </w:t>
      </w:r>
      <w:r w:rsidRPr="00BD6815">
        <w:rPr>
          <w:rFonts w:ascii="Times New Roman" w:hAnsi="Times New Roman"/>
          <w:sz w:val="24"/>
          <w:szCs w:val="24"/>
        </w:rPr>
        <w:t xml:space="preserve">to political parties that are not represented in the parliament, but whose nominated candidates succeeded to gain at least 3% of total valid votes in the last parliamentary election. The amount is divided proportionally to the percentage of gained votes. </w:t>
      </w:r>
    </w:p>
    <w:p w:rsidR="00B41FA7" w:rsidRPr="00BD6815" w:rsidRDefault="00BF36E6" w:rsidP="002C374F">
      <w:pPr>
        <w:numPr>
          <w:ilvl w:val="0"/>
          <w:numId w:val="5"/>
        </w:numPr>
        <w:autoSpaceDE w:val="0"/>
        <w:autoSpaceDN w:val="0"/>
        <w:adjustRightInd w:val="0"/>
        <w:spacing w:before="120" w:after="120" w:line="260" w:lineRule="exact"/>
        <w:jc w:val="both"/>
        <w:rPr>
          <w:rFonts w:ascii="Times New Roman" w:hAnsi="Times New Roman"/>
          <w:sz w:val="24"/>
          <w:szCs w:val="24"/>
        </w:rPr>
      </w:pPr>
      <w:r w:rsidRPr="00BD6815">
        <w:rPr>
          <w:rFonts w:ascii="Times New Roman" w:hAnsi="Times New Roman"/>
          <w:sz w:val="24"/>
          <w:szCs w:val="24"/>
        </w:rPr>
        <w:t>In case</w:t>
      </w:r>
      <w:r w:rsidR="00DF04BC" w:rsidRPr="00BD6815">
        <w:rPr>
          <w:rFonts w:ascii="Times New Roman" w:hAnsi="Times New Roman"/>
          <w:sz w:val="24"/>
          <w:szCs w:val="24"/>
        </w:rPr>
        <w:t xml:space="preserve"> political parties participate in election in blocs, the</w:t>
      </w:r>
      <w:r w:rsidRPr="00BD6815">
        <w:rPr>
          <w:rFonts w:ascii="Times New Roman" w:hAnsi="Times New Roman"/>
          <w:sz w:val="24"/>
          <w:szCs w:val="24"/>
        </w:rPr>
        <w:t xml:space="preserve"> amount </w:t>
      </w:r>
      <w:r w:rsidR="00DF04BC" w:rsidRPr="00BD6815">
        <w:rPr>
          <w:rFonts w:ascii="Times New Roman" w:hAnsi="Times New Roman"/>
          <w:sz w:val="24"/>
          <w:szCs w:val="24"/>
        </w:rPr>
        <w:t xml:space="preserve">is divided among individual </w:t>
      </w:r>
      <w:r w:rsidRPr="00BD6815">
        <w:rPr>
          <w:rFonts w:ascii="Times New Roman" w:hAnsi="Times New Roman"/>
          <w:sz w:val="24"/>
          <w:szCs w:val="24"/>
        </w:rPr>
        <w:t>political parties</w:t>
      </w:r>
      <w:r w:rsidR="00DF04BC" w:rsidRPr="00BD6815">
        <w:rPr>
          <w:rFonts w:ascii="Times New Roman" w:hAnsi="Times New Roman"/>
          <w:sz w:val="24"/>
          <w:szCs w:val="24"/>
        </w:rPr>
        <w:t>.</w:t>
      </w:r>
    </w:p>
    <w:p w:rsidR="007C0FDA" w:rsidRPr="00BD6815" w:rsidRDefault="00DF04BC" w:rsidP="002C374F">
      <w:pPr>
        <w:autoSpaceDE w:val="0"/>
        <w:autoSpaceDN w:val="0"/>
        <w:adjustRightInd w:val="0"/>
        <w:spacing w:before="120" w:after="120" w:line="260" w:lineRule="exact"/>
        <w:jc w:val="both"/>
        <w:rPr>
          <w:rFonts w:ascii="Times New Roman" w:hAnsi="Times New Roman"/>
          <w:sz w:val="24"/>
          <w:szCs w:val="24"/>
        </w:rPr>
      </w:pPr>
      <w:r w:rsidRPr="00BD6815">
        <w:rPr>
          <w:rFonts w:ascii="Times New Roman" w:hAnsi="Times New Roman"/>
          <w:sz w:val="24"/>
          <w:szCs w:val="24"/>
        </w:rPr>
        <w:t>If a political party</w:t>
      </w:r>
      <w:r w:rsidR="00B41FA7" w:rsidRPr="00BD6815">
        <w:rPr>
          <w:rFonts w:ascii="Times New Roman" w:hAnsi="Times New Roman"/>
          <w:sz w:val="24"/>
          <w:szCs w:val="24"/>
        </w:rPr>
        <w:t xml:space="preserve"> refuse</w:t>
      </w:r>
      <w:r w:rsidRPr="00BD6815">
        <w:rPr>
          <w:rFonts w:ascii="Times New Roman" w:hAnsi="Times New Roman"/>
          <w:sz w:val="24"/>
          <w:szCs w:val="24"/>
        </w:rPr>
        <w:t>s</w:t>
      </w:r>
      <w:r w:rsidR="00B41FA7" w:rsidRPr="00BD6815">
        <w:rPr>
          <w:rFonts w:ascii="Times New Roman" w:hAnsi="Times New Roman"/>
          <w:sz w:val="24"/>
          <w:szCs w:val="24"/>
        </w:rPr>
        <w:t xml:space="preserve"> to accept the funds allocated from the state budget, those funds shall be returned to the state budget. </w:t>
      </w:r>
      <w:r w:rsidR="00BF36E6" w:rsidRPr="00BD6815">
        <w:rPr>
          <w:rFonts w:ascii="Times New Roman" w:hAnsi="Times New Roman"/>
          <w:sz w:val="24"/>
          <w:szCs w:val="24"/>
        </w:rPr>
        <w:t xml:space="preserve">The law does not stipulate any requirements regarding directions or purpose of </w:t>
      </w:r>
      <w:r w:rsidRPr="00BD6815">
        <w:rPr>
          <w:rFonts w:ascii="Times New Roman" w:hAnsi="Times New Roman"/>
          <w:sz w:val="24"/>
          <w:szCs w:val="24"/>
        </w:rPr>
        <w:t>the funds</w:t>
      </w:r>
      <w:r w:rsidR="002C7D73" w:rsidRPr="00BD6815">
        <w:rPr>
          <w:rFonts w:ascii="Times New Roman" w:hAnsi="Times New Roman"/>
          <w:sz w:val="24"/>
          <w:szCs w:val="24"/>
        </w:rPr>
        <w:t xml:space="preserve">. </w:t>
      </w:r>
    </w:p>
    <w:p w:rsidR="009B450F" w:rsidRPr="00BD6815" w:rsidRDefault="009B450F" w:rsidP="009B450F">
      <w:pPr>
        <w:autoSpaceDE w:val="0"/>
        <w:autoSpaceDN w:val="0"/>
        <w:adjustRightInd w:val="0"/>
        <w:spacing w:before="120" w:after="120" w:line="260" w:lineRule="exact"/>
        <w:jc w:val="both"/>
        <w:rPr>
          <w:rFonts w:ascii="Times New Roman" w:hAnsi="Times New Roman"/>
          <w:sz w:val="24"/>
          <w:szCs w:val="24"/>
          <w:lang w:eastAsia="ru-RU"/>
        </w:rPr>
      </w:pPr>
      <w:r w:rsidRPr="00BD6815">
        <w:rPr>
          <w:rFonts w:ascii="Times New Roman" w:hAnsi="Times New Roman"/>
          <w:sz w:val="24"/>
          <w:szCs w:val="24"/>
          <w:lang w:eastAsia="ru-RU"/>
        </w:rPr>
        <w:t>International standards require public funding of political parties to be reasonable and non-discriminatory. Although, the Azerbaijani legislation is largely in line with guidelines of the Venice Commission, in reality the law fails to ensure the non-discrimination principle in Azerbaijan due to shortcomings related to the elections. The OSCE/ODIHR election observation mission concluded that "</w:t>
      </w:r>
      <w:r w:rsidRPr="00BD6815">
        <w:rPr>
          <w:rFonts w:ascii="Times New Roman" w:hAnsi="Times New Roman"/>
          <w:sz w:val="24"/>
          <w:szCs w:val="24"/>
        </w:rPr>
        <w:t xml:space="preserve">the conduct of [2010 Parliamentary] elections overall was not sufficient to constitute meaningful progress in the democratic development of the country." None of the political parties participating in elections was able to collect 3% of casted votes leaving the 10% of funding from the state budget unallocated. </w:t>
      </w:r>
    </w:p>
    <w:p w:rsidR="00A165E0" w:rsidRDefault="00A165E0" w:rsidP="0091568F">
      <w:pPr>
        <w:autoSpaceDE w:val="0"/>
        <w:autoSpaceDN w:val="0"/>
        <w:adjustRightInd w:val="0"/>
        <w:spacing w:before="120" w:after="120" w:line="260" w:lineRule="exact"/>
        <w:jc w:val="both"/>
        <w:rPr>
          <w:rFonts w:ascii="Times New Roman" w:hAnsi="Times New Roman"/>
          <w:b/>
          <w:i/>
          <w:sz w:val="24"/>
          <w:szCs w:val="24"/>
          <w:lang w:eastAsia="ru-RU"/>
        </w:rPr>
      </w:pPr>
    </w:p>
    <w:p w:rsidR="00ED2F04" w:rsidRPr="00BD6815" w:rsidRDefault="00B55E71" w:rsidP="0091568F">
      <w:pPr>
        <w:autoSpaceDE w:val="0"/>
        <w:autoSpaceDN w:val="0"/>
        <w:adjustRightInd w:val="0"/>
        <w:spacing w:before="120" w:after="120" w:line="260" w:lineRule="exact"/>
        <w:jc w:val="both"/>
        <w:rPr>
          <w:rFonts w:ascii="Times New Roman" w:hAnsi="Times New Roman"/>
          <w:b/>
          <w:i/>
          <w:sz w:val="24"/>
          <w:szCs w:val="24"/>
          <w:lang w:eastAsia="ru-RU"/>
        </w:rPr>
      </w:pPr>
      <w:r w:rsidRPr="00BD6815">
        <w:rPr>
          <w:rFonts w:ascii="Times New Roman" w:hAnsi="Times New Roman"/>
          <w:b/>
          <w:i/>
          <w:sz w:val="24"/>
          <w:szCs w:val="24"/>
          <w:lang w:eastAsia="ru-RU"/>
        </w:rPr>
        <w:t>Private funding o</w:t>
      </w:r>
      <w:r w:rsidR="000663B0" w:rsidRPr="00BD6815">
        <w:rPr>
          <w:rFonts w:ascii="Times New Roman" w:hAnsi="Times New Roman"/>
          <w:b/>
          <w:i/>
          <w:sz w:val="24"/>
          <w:szCs w:val="24"/>
          <w:lang w:eastAsia="ru-RU"/>
        </w:rPr>
        <w:t>f political parties</w:t>
      </w:r>
      <w:r w:rsidRPr="00BD6815">
        <w:rPr>
          <w:rFonts w:ascii="Times New Roman" w:hAnsi="Times New Roman"/>
          <w:b/>
          <w:i/>
          <w:sz w:val="24"/>
          <w:szCs w:val="24"/>
          <w:lang w:eastAsia="ru-RU"/>
        </w:rPr>
        <w:t xml:space="preserve"> </w:t>
      </w:r>
    </w:p>
    <w:p w:rsidR="009B450F" w:rsidRPr="00BD6815" w:rsidRDefault="000663B0" w:rsidP="009B450F">
      <w:pPr>
        <w:autoSpaceDE w:val="0"/>
        <w:autoSpaceDN w:val="0"/>
        <w:adjustRightInd w:val="0"/>
        <w:spacing w:before="120" w:after="120" w:line="260" w:lineRule="exact"/>
        <w:jc w:val="both"/>
        <w:rPr>
          <w:rFonts w:ascii="Times New Roman" w:hAnsi="Times New Roman"/>
          <w:sz w:val="24"/>
          <w:szCs w:val="24"/>
          <w:lang w:eastAsia="ru-RU"/>
        </w:rPr>
      </w:pPr>
      <w:r w:rsidRPr="00BD6815">
        <w:rPr>
          <w:rFonts w:ascii="Times New Roman" w:hAnsi="Times New Roman"/>
          <w:sz w:val="24"/>
          <w:szCs w:val="24"/>
          <w:lang w:eastAsia="ru-RU"/>
        </w:rPr>
        <w:t xml:space="preserve">Article 19 of the Law on Political Parties stipulates conditions for </w:t>
      </w:r>
      <w:r w:rsidR="009B450F" w:rsidRPr="00BD6815">
        <w:rPr>
          <w:rFonts w:ascii="Times New Roman" w:hAnsi="Times New Roman"/>
          <w:sz w:val="24"/>
          <w:szCs w:val="24"/>
          <w:lang w:eastAsia="ru-RU"/>
        </w:rPr>
        <w:t>monetary</w:t>
      </w:r>
      <w:r w:rsidRPr="00BD6815">
        <w:rPr>
          <w:rFonts w:ascii="Times New Roman" w:hAnsi="Times New Roman"/>
          <w:sz w:val="24"/>
          <w:szCs w:val="24"/>
          <w:lang w:eastAsia="ru-RU"/>
        </w:rPr>
        <w:t xml:space="preserve"> and in-kind donations to political parties. According to the law, all </w:t>
      </w:r>
      <w:r w:rsidR="009B450F" w:rsidRPr="00BD6815">
        <w:rPr>
          <w:rFonts w:ascii="Times New Roman" w:hAnsi="Times New Roman"/>
          <w:sz w:val="24"/>
          <w:szCs w:val="24"/>
          <w:lang w:eastAsia="ru-RU"/>
        </w:rPr>
        <w:t>monetary</w:t>
      </w:r>
      <w:r w:rsidRPr="00BD6815">
        <w:rPr>
          <w:rFonts w:ascii="Times New Roman" w:hAnsi="Times New Roman"/>
          <w:sz w:val="24"/>
          <w:szCs w:val="24"/>
          <w:lang w:eastAsia="ru-RU"/>
        </w:rPr>
        <w:t xml:space="preserve"> donations should be transferred to political party's bank account, while the financial cost of </w:t>
      </w:r>
      <w:r w:rsidR="009B450F" w:rsidRPr="00BD6815">
        <w:rPr>
          <w:rFonts w:ascii="Times New Roman" w:hAnsi="Times New Roman"/>
          <w:sz w:val="24"/>
          <w:szCs w:val="24"/>
          <w:lang w:eastAsia="ru-RU"/>
        </w:rPr>
        <w:t xml:space="preserve">an </w:t>
      </w:r>
      <w:r w:rsidRPr="00BD6815">
        <w:rPr>
          <w:rFonts w:ascii="Times New Roman" w:hAnsi="Times New Roman"/>
          <w:sz w:val="24"/>
          <w:szCs w:val="24"/>
          <w:lang w:eastAsia="ru-RU"/>
        </w:rPr>
        <w:t xml:space="preserve">in-kind donation should be calculated based on market </w:t>
      </w:r>
      <w:r w:rsidR="006C793E" w:rsidRPr="00BD6815">
        <w:rPr>
          <w:rFonts w:ascii="Times New Roman" w:hAnsi="Times New Roman"/>
          <w:sz w:val="24"/>
          <w:szCs w:val="24"/>
          <w:lang w:eastAsia="ru-RU"/>
        </w:rPr>
        <w:t>value</w:t>
      </w:r>
      <w:r w:rsidRPr="00BD6815">
        <w:rPr>
          <w:rFonts w:ascii="Times New Roman" w:hAnsi="Times New Roman"/>
          <w:sz w:val="24"/>
          <w:szCs w:val="24"/>
          <w:lang w:eastAsia="ru-RU"/>
        </w:rPr>
        <w:t xml:space="preserve">. Amounts and names of sources of all donations should be </w:t>
      </w:r>
      <w:r w:rsidR="00CC6C38" w:rsidRPr="00BD6815">
        <w:rPr>
          <w:rFonts w:ascii="Times New Roman" w:hAnsi="Times New Roman"/>
          <w:sz w:val="24"/>
          <w:szCs w:val="24"/>
          <w:lang w:eastAsia="ru-RU"/>
        </w:rPr>
        <w:t xml:space="preserve">reflected in the annual financial report </w:t>
      </w:r>
      <w:r w:rsidRPr="00BD6815">
        <w:rPr>
          <w:rFonts w:ascii="Times New Roman" w:hAnsi="Times New Roman"/>
          <w:sz w:val="24"/>
          <w:szCs w:val="24"/>
          <w:lang w:eastAsia="ru-RU"/>
        </w:rPr>
        <w:t xml:space="preserve">of political parties submitted </w:t>
      </w:r>
      <w:r w:rsidR="00CC6C38" w:rsidRPr="00BD6815">
        <w:rPr>
          <w:rFonts w:ascii="Times New Roman" w:hAnsi="Times New Roman"/>
          <w:sz w:val="24"/>
          <w:szCs w:val="24"/>
          <w:lang w:eastAsia="ru-RU"/>
        </w:rPr>
        <w:t>to the C</w:t>
      </w:r>
      <w:r w:rsidRPr="00BD6815">
        <w:rPr>
          <w:rFonts w:ascii="Times New Roman" w:hAnsi="Times New Roman"/>
          <w:sz w:val="24"/>
          <w:szCs w:val="24"/>
          <w:lang w:eastAsia="ru-RU"/>
        </w:rPr>
        <w:t>EC</w:t>
      </w:r>
      <w:r w:rsidR="00CC6C38" w:rsidRPr="00BD6815">
        <w:rPr>
          <w:rFonts w:ascii="Times New Roman" w:hAnsi="Times New Roman"/>
          <w:sz w:val="24"/>
          <w:szCs w:val="24"/>
          <w:lang w:eastAsia="ru-RU"/>
        </w:rPr>
        <w:t xml:space="preserve">. </w:t>
      </w:r>
      <w:r w:rsidR="009B450F" w:rsidRPr="00BD6815">
        <w:rPr>
          <w:rFonts w:ascii="Times New Roman" w:hAnsi="Times New Roman"/>
          <w:sz w:val="24"/>
          <w:szCs w:val="24"/>
          <w:lang w:eastAsia="ru-RU"/>
        </w:rPr>
        <w:t>The legislation specifies restrictions on donations in order to minimize possible corruption and buying of political influence.</w:t>
      </w:r>
      <w:r w:rsidR="0095737A" w:rsidRPr="00BD6815">
        <w:rPr>
          <w:rFonts w:ascii="Times New Roman" w:hAnsi="Times New Roman"/>
          <w:sz w:val="24"/>
          <w:szCs w:val="24"/>
          <w:lang w:eastAsia="ru-RU"/>
        </w:rPr>
        <w:t xml:space="preserve"> </w:t>
      </w:r>
      <w:r w:rsidRPr="00BD6815">
        <w:rPr>
          <w:rFonts w:ascii="Times New Roman" w:hAnsi="Times New Roman"/>
          <w:sz w:val="24"/>
          <w:szCs w:val="24"/>
          <w:lang w:eastAsia="ru-RU"/>
        </w:rPr>
        <w:t xml:space="preserve">The legislation caps the maximum amount of donation by one person at 10,000 </w:t>
      </w:r>
      <w:proofErr w:type="spellStart"/>
      <w:r w:rsidRPr="00BD6815">
        <w:rPr>
          <w:rFonts w:ascii="Times New Roman" w:hAnsi="Times New Roman"/>
          <w:sz w:val="24"/>
          <w:szCs w:val="24"/>
          <w:lang w:eastAsia="ru-RU"/>
        </w:rPr>
        <w:t>manats</w:t>
      </w:r>
      <w:proofErr w:type="spellEnd"/>
      <w:r w:rsidRPr="00BD6815">
        <w:rPr>
          <w:rFonts w:ascii="Times New Roman" w:hAnsi="Times New Roman"/>
          <w:sz w:val="24"/>
          <w:szCs w:val="24"/>
          <w:lang w:eastAsia="ru-RU"/>
        </w:rPr>
        <w:t xml:space="preserve"> ($5,900) </w:t>
      </w:r>
      <w:r w:rsidR="00787662" w:rsidRPr="00BD6815">
        <w:rPr>
          <w:rFonts w:ascii="Times New Roman" w:hAnsi="Times New Roman"/>
          <w:sz w:val="24"/>
          <w:szCs w:val="24"/>
          <w:lang w:eastAsia="ru-RU"/>
        </w:rPr>
        <w:t>per</w:t>
      </w:r>
      <w:r w:rsidRPr="00BD6815">
        <w:rPr>
          <w:rFonts w:ascii="Times New Roman" w:hAnsi="Times New Roman"/>
          <w:sz w:val="24"/>
          <w:szCs w:val="24"/>
          <w:lang w:eastAsia="ru-RU"/>
        </w:rPr>
        <w:t xml:space="preserve"> a year which could be donated to one or several parties combined. </w:t>
      </w:r>
    </w:p>
    <w:p w:rsidR="00ED2F04" w:rsidRPr="00BD6815" w:rsidRDefault="0095737A" w:rsidP="0091568F">
      <w:pPr>
        <w:autoSpaceDE w:val="0"/>
        <w:autoSpaceDN w:val="0"/>
        <w:adjustRightInd w:val="0"/>
        <w:spacing w:before="120" w:after="120" w:line="260" w:lineRule="exact"/>
        <w:jc w:val="both"/>
        <w:rPr>
          <w:rFonts w:ascii="Times New Roman" w:hAnsi="Times New Roman"/>
          <w:sz w:val="24"/>
          <w:szCs w:val="24"/>
          <w:lang w:eastAsia="ru-RU"/>
        </w:rPr>
      </w:pPr>
      <w:r w:rsidRPr="00BD6815">
        <w:rPr>
          <w:rFonts w:ascii="Times New Roman" w:hAnsi="Times New Roman"/>
          <w:sz w:val="24"/>
          <w:szCs w:val="24"/>
          <w:lang w:eastAsia="ru-RU"/>
        </w:rPr>
        <w:t>Moreover u</w:t>
      </w:r>
      <w:r w:rsidR="00363104" w:rsidRPr="00BD6815">
        <w:rPr>
          <w:rFonts w:ascii="Times New Roman" w:hAnsi="Times New Roman"/>
          <w:sz w:val="24"/>
          <w:szCs w:val="24"/>
          <w:lang w:eastAsia="ru-RU"/>
        </w:rPr>
        <w:t>nderage citizens or i</w:t>
      </w:r>
      <w:r w:rsidR="000663B0" w:rsidRPr="00BD6815">
        <w:rPr>
          <w:rFonts w:ascii="Times New Roman" w:hAnsi="Times New Roman"/>
          <w:sz w:val="24"/>
          <w:szCs w:val="24"/>
          <w:lang w:eastAsia="ru-RU"/>
        </w:rPr>
        <w:t xml:space="preserve">ndividuals who fail to indicate their personal details (name, date of birth, ID serial number etc.) are barred from donating to political parties. </w:t>
      </w:r>
    </w:p>
    <w:p w:rsidR="00ED2F04" w:rsidRPr="00BD6815" w:rsidRDefault="00363104" w:rsidP="0091568F">
      <w:pPr>
        <w:autoSpaceDE w:val="0"/>
        <w:autoSpaceDN w:val="0"/>
        <w:adjustRightInd w:val="0"/>
        <w:spacing w:before="120" w:after="120" w:line="260" w:lineRule="exact"/>
        <w:jc w:val="both"/>
        <w:rPr>
          <w:rFonts w:ascii="Times New Roman" w:hAnsi="Times New Roman"/>
          <w:sz w:val="24"/>
          <w:szCs w:val="24"/>
          <w:lang w:eastAsia="ru-RU"/>
        </w:rPr>
      </w:pPr>
      <w:r w:rsidRPr="00BD6815">
        <w:rPr>
          <w:rFonts w:ascii="Times New Roman" w:hAnsi="Times New Roman"/>
          <w:sz w:val="24"/>
          <w:szCs w:val="24"/>
          <w:lang w:eastAsia="ru-RU"/>
        </w:rPr>
        <w:t>T</w:t>
      </w:r>
      <w:r w:rsidR="000663B0" w:rsidRPr="00BD6815">
        <w:rPr>
          <w:rFonts w:ascii="Times New Roman" w:hAnsi="Times New Roman"/>
          <w:sz w:val="24"/>
          <w:szCs w:val="24"/>
          <w:lang w:eastAsia="ru-RU"/>
        </w:rPr>
        <w:t xml:space="preserve">he law </w:t>
      </w:r>
      <w:r w:rsidR="00EA3F60" w:rsidRPr="00BD6815">
        <w:rPr>
          <w:rFonts w:ascii="Times New Roman" w:hAnsi="Times New Roman"/>
          <w:sz w:val="24"/>
          <w:szCs w:val="24"/>
          <w:lang w:eastAsia="ru-RU"/>
        </w:rPr>
        <w:t xml:space="preserve">also </w:t>
      </w:r>
      <w:r w:rsidR="000663B0" w:rsidRPr="00BD6815">
        <w:rPr>
          <w:rFonts w:ascii="Times New Roman" w:hAnsi="Times New Roman"/>
          <w:sz w:val="24"/>
          <w:szCs w:val="24"/>
          <w:lang w:eastAsia="ru-RU"/>
        </w:rPr>
        <w:t xml:space="preserve">prohibits donation from </w:t>
      </w:r>
      <w:r w:rsidR="000663B0" w:rsidRPr="00BD6815">
        <w:rPr>
          <w:rFonts w:ascii="Times New Roman" w:hAnsi="Times New Roman"/>
          <w:b/>
          <w:sz w:val="24"/>
          <w:szCs w:val="24"/>
          <w:lang w:eastAsia="ru-RU"/>
        </w:rPr>
        <w:t>legal entities</w:t>
      </w:r>
      <w:r w:rsidR="000663B0" w:rsidRPr="00BD6815">
        <w:rPr>
          <w:rFonts w:ascii="Times New Roman" w:hAnsi="Times New Roman"/>
          <w:sz w:val="24"/>
          <w:szCs w:val="24"/>
          <w:lang w:eastAsia="ru-RU"/>
        </w:rPr>
        <w:t xml:space="preserve">, </w:t>
      </w:r>
      <w:r w:rsidRPr="00BD6815">
        <w:rPr>
          <w:rFonts w:ascii="Times New Roman" w:hAnsi="Times New Roman"/>
          <w:sz w:val="24"/>
          <w:szCs w:val="24"/>
          <w:lang w:eastAsia="ru-RU"/>
        </w:rPr>
        <w:t xml:space="preserve">public associations and foundations, foreign states, foreign legal entities and foreign individuals, and persons without citizenship. State bodies and state entities </w:t>
      </w:r>
      <w:r w:rsidRPr="00BD6815">
        <w:rPr>
          <w:rFonts w:ascii="Times New Roman" w:hAnsi="Times New Roman"/>
          <w:sz w:val="24"/>
          <w:szCs w:val="24"/>
          <w:lang w:eastAsia="ru-RU"/>
        </w:rPr>
        <w:lastRenderedPageBreak/>
        <w:t xml:space="preserve">(except from the above-mentioned annual financing from budget), municipal authorities and their subordinate entities, military units and religious entities are also </w:t>
      </w:r>
      <w:r w:rsidR="00EA3F60" w:rsidRPr="00BD6815">
        <w:rPr>
          <w:rFonts w:ascii="Times New Roman" w:hAnsi="Times New Roman"/>
          <w:sz w:val="24"/>
          <w:szCs w:val="24"/>
          <w:lang w:eastAsia="ru-RU"/>
        </w:rPr>
        <w:t>prohibited</w:t>
      </w:r>
      <w:r w:rsidRPr="00BD6815">
        <w:rPr>
          <w:rFonts w:ascii="Times New Roman" w:hAnsi="Times New Roman"/>
          <w:sz w:val="24"/>
          <w:szCs w:val="24"/>
          <w:lang w:eastAsia="ru-RU"/>
        </w:rPr>
        <w:t xml:space="preserve"> from donating.</w:t>
      </w:r>
      <w:r w:rsidR="00ED2F04" w:rsidRPr="00BD6815">
        <w:rPr>
          <w:rFonts w:ascii="Times New Roman" w:hAnsi="Times New Roman"/>
          <w:sz w:val="24"/>
          <w:szCs w:val="24"/>
          <w:lang w:eastAsia="ru-RU"/>
        </w:rPr>
        <w:t xml:space="preserve">  </w:t>
      </w:r>
    </w:p>
    <w:p w:rsidR="00EA3F60" w:rsidRDefault="00EA3F60" w:rsidP="0091568F">
      <w:pPr>
        <w:autoSpaceDE w:val="0"/>
        <w:autoSpaceDN w:val="0"/>
        <w:adjustRightInd w:val="0"/>
        <w:spacing w:before="120" w:after="120" w:line="260" w:lineRule="exact"/>
        <w:jc w:val="both"/>
        <w:rPr>
          <w:rFonts w:ascii="Times New Roman" w:hAnsi="Times New Roman"/>
          <w:sz w:val="24"/>
          <w:szCs w:val="24"/>
          <w:lang w:eastAsia="ru-RU"/>
        </w:rPr>
      </w:pPr>
      <w:r w:rsidRPr="00BD6815">
        <w:rPr>
          <w:rFonts w:ascii="Times New Roman" w:hAnsi="Times New Roman"/>
          <w:sz w:val="24"/>
          <w:szCs w:val="24"/>
          <w:lang w:eastAsia="ru-RU"/>
        </w:rPr>
        <w:t xml:space="preserve">The law allows political parties </w:t>
      </w:r>
      <w:r w:rsidR="009B450F" w:rsidRPr="00BD6815">
        <w:rPr>
          <w:rFonts w:ascii="Times New Roman" w:hAnsi="Times New Roman"/>
          <w:sz w:val="24"/>
          <w:szCs w:val="24"/>
          <w:lang w:eastAsia="ru-RU"/>
        </w:rPr>
        <w:t xml:space="preserve">to have </w:t>
      </w:r>
      <w:r w:rsidRPr="00BD6815">
        <w:rPr>
          <w:rFonts w:ascii="Times New Roman" w:hAnsi="Times New Roman"/>
          <w:sz w:val="24"/>
          <w:szCs w:val="24"/>
          <w:lang w:eastAsia="ru-RU"/>
        </w:rPr>
        <w:t>following revenues</w:t>
      </w:r>
      <w:r w:rsidR="009B450F" w:rsidRPr="00BD6815">
        <w:rPr>
          <w:rFonts w:ascii="Times New Roman" w:hAnsi="Times New Roman"/>
          <w:sz w:val="24"/>
          <w:szCs w:val="24"/>
          <w:lang w:eastAsia="ru-RU"/>
        </w:rPr>
        <w:t xml:space="preserve"> and expenditures</w:t>
      </w:r>
      <w:r w:rsidRPr="00BD6815">
        <w:rPr>
          <w:rFonts w:ascii="Times New Roman" w:hAnsi="Times New Roman"/>
          <w:sz w:val="24"/>
          <w:szCs w:val="24"/>
          <w:lang w:eastAsia="ru-RU"/>
        </w:rPr>
        <w:t>:</w:t>
      </w:r>
    </w:p>
    <w:p w:rsidR="00B934DF" w:rsidRPr="00BD6815" w:rsidRDefault="00B934DF" w:rsidP="0091568F">
      <w:pPr>
        <w:autoSpaceDE w:val="0"/>
        <w:autoSpaceDN w:val="0"/>
        <w:adjustRightInd w:val="0"/>
        <w:spacing w:before="120" w:after="120" w:line="260" w:lineRule="exact"/>
        <w:jc w:val="both"/>
        <w:rPr>
          <w:rFonts w:ascii="Times New Roman" w:hAnsi="Times New Roman"/>
          <w:sz w:val="24"/>
          <w:szCs w:val="24"/>
          <w:lang w:eastAsia="ru-RU"/>
        </w:rPr>
      </w:pPr>
    </w:p>
    <w:tbl>
      <w:tblPr>
        <w:tblW w:w="0" w:type="auto"/>
        <w:tblLook w:val="04A0" w:firstRow="1" w:lastRow="0" w:firstColumn="1" w:lastColumn="0" w:noHBand="0" w:noVBand="1"/>
      </w:tblPr>
      <w:tblGrid>
        <w:gridCol w:w="4621"/>
        <w:gridCol w:w="4621"/>
      </w:tblGrid>
      <w:tr w:rsidR="00EA3F60" w:rsidRPr="00BD6815" w:rsidTr="008716A3">
        <w:tc>
          <w:tcPr>
            <w:tcW w:w="4621" w:type="dxa"/>
            <w:shd w:val="clear" w:color="auto" w:fill="000000"/>
          </w:tcPr>
          <w:p w:rsidR="00EA3F60" w:rsidRPr="00BD6815" w:rsidRDefault="00EA3F60" w:rsidP="008716A3">
            <w:pPr>
              <w:autoSpaceDE w:val="0"/>
              <w:autoSpaceDN w:val="0"/>
              <w:adjustRightInd w:val="0"/>
              <w:spacing w:after="0" w:line="360" w:lineRule="auto"/>
              <w:ind w:left="426"/>
              <w:rPr>
                <w:rFonts w:ascii="Times New Roman" w:hAnsi="Times New Roman"/>
                <w:b/>
                <w:sz w:val="24"/>
                <w:szCs w:val="24"/>
                <w:lang w:eastAsia="ru-RU"/>
              </w:rPr>
            </w:pPr>
            <w:r w:rsidRPr="00BD6815">
              <w:rPr>
                <w:rFonts w:ascii="Times New Roman" w:hAnsi="Times New Roman"/>
                <w:b/>
                <w:sz w:val="24"/>
                <w:szCs w:val="24"/>
                <w:lang w:eastAsia="ru-RU"/>
              </w:rPr>
              <w:t>Sources of revenues</w:t>
            </w:r>
          </w:p>
        </w:tc>
        <w:tc>
          <w:tcPr>
            <w:tcW w:w="4621" w:type="dxa"/>
            <w:shd w:val="clear" w:color="auto" w:fill="000000"/>
          </w:tcPr>
          <w:p w:rsidR="00EA3F60" w:rsidRPr="00BD6815" w:rsidRDefault="00EA3F60" w:rsidP="008716A3">
            <w:pPr>
              <w:autoSpaceDE w:val="0"/>
              <w:autoSpaceDN w:val="0"/>
              <w:adjustRightInd w:val="0"/>
              <w:spacing w:after="0" w:line="360" w:lineRule="auto"/>
              <w:ind w:left="426"/>
              <w:rPr>
                <w:rFonts w:ascii="Times New Roman" w:hAnsi="Times New Roman"/>
                <w:b/>
                <w:sz w:val="24"/>
                <w:szCs w:val="24"/>
                <w:lang w:eastAsia="ru-RU"/>
              </w:rPr>
            </w:pPr>
            <w:r w:rsidRPr="00BD6815">
              <w:rPr>
                <w:rFonts w:ascii="Times New Roman" w:hAnsi="Times New Roman"/>
                <w:b/>
                <w:sz w:val="24"/>
                <w:szCs w:val="24"/>
                <w:lang w:eastAsia="ru-RU"/>
              </w:rPr>
              <w:t>Expenditures</w:t>
            </w:r>
          </w:p>
        </w:tc>
      </w:tr>
      <w:tr w:rsidR="00EA3F60" w:rsidRPr="00BD6815" w:rsidTr="008716A3">
        <w:tc>
          <w:tcPr>
            <w:tcW w:w="4621" w:type="dxa"/>
            <w:tcBorders>
              <w:right w:val="single" w:sz="4" w:space="0" w:color="auto"/>
            </w:tcBorders>
          </w:tcPr>
          <w:p w:rsidR="00EA3F60" w:rsidRPr="00BD6815" w:rsidRDefault="00EA3F60" w:rsidP="008716A3">
            <w:pPr>
              <w:numPr>
                <w:ilvl w:val="0"/>
                <w:numId w:val="4"/>
              </w:numPr>
              <w:autoSpaceDE w:val="0"/>
              <w:autoSpaceDN w:val="0"/>
              <w:adjustRightInd w:val="0"/>
              <w:spacing w:after="0" w:line="240" w:lineRule="auto"/>
              <w:ind w:left="426"/>
              <w:jc w:val="both"/>
              <w:rPr>
                <w:rFonts w:ascii="Times New Roman" w:hAnsi="Times New Roman"/>
                <w:sz w:val="24"/>
                <w:szCs w:val="24"/>
                <w:lang w:eastAsia="ru-RU"/>
              </w:rPr>
            </w:pPr>
            <w:r w:rsidRPr="00BD6815">
              <w:rPr>
                <w:rFonts w:ascii="Times New Roman" w:hAnsi="Times New Roman"/>
                <w:sz w:val="24"/>
                <w:szCs w:val="24"/>
                <w:lang w:eastAsia="ru-RU"/>
              </w:rPr>
              <w:t>Membership fees</w:t>
            </w:r>
          </w:p>
        </w:tc>
        <w:tc>
          <w:tcPr>
            <w:tcW w:w="4621" w:type="dxa"/>
            <w:tcBorders>
              <w:left w:val="single" w:sz="4" w:space="0" w:color="auto"/>
            </w:tcBorders>
          </w:tcPr>
          <w:p w:rsidR="00EA3F60" w:rsidRPr="00BD6815" w:rsidRDefault="002B74DD" w:rsidP="008716A3">
            <w:pPr>
              <w:numPr>
                <w:ilvl w:val="0"/>
                <w:numId w:val="4"/>
              </w:numPr>
              <w:autoSpaceDE w:val="0"/>
              <w:autoSpaceDN w:val="0"/>
              <w:adjustRightInd w:val="0"/>
              <w:spacing w:after="0" w:line="240" w:lineRule="auto"/>
              <w:ind w:left="341" w:hanging="284"/>
              <w:jc w:val="both"/>
              <w:rPr>
                <w:rFonts w:ascii="Times New Roman" w:hAnsi="Times New Roman"/>
                <w:sz w:val="24"/>
                <w:szCs w:val="24"/>
                <w:lang w:eastAsia="ru-RU"/>
              </w:rPr>
            </w:pPr>
            <w:r w:rsidRPr="00BD6815">
              <w:rPr>
                <w:rFonts w:ascii="Times New Roman" w:hAnsi="Times New Roman"/>
                <w:sz w:val="24"/>
                <w:szCs w:val="24"/>
                <w:lang w:eastAsia="ru-RU"/>
              </w:rPr>
              <w:t>Funds spent on c</w:t>
            </w:r>
            <w:r w:rsidR="00EA3F60" w:rsidRPr="00BD6815">
              <w:rPr>
                <w:rFonts w:ascii="Times New Roman" w:hAnsi="Times New Roman"/>
                <w:sz w:val="24"/>
                <w:szCs w:val="24"/>
                <w:lang w:eastAsia="ru-RU"/>
              </w:rPr>
              <w:t>urrent activities</w:t>
            </w:r>
          </w:p>
        </w:tc>
      </w:tr>
      <w:tr w:rsidR="0091568F" w:rsidRPr="00BD6815" w:rsidTr="008716A3">
        <w:tc>
          <w:tcPr>
            <w:tcW w:w="4621" w:type="dxa"/>
            <w:tcBorders>
              <w:right w:val="single" w:sz="4" w:space="0" w:color="auto"/>
            </w:tcBorders>
          </w:tcPr>
          <w:p w:rsidR="0091568F" w:rsidRPr="00BD6815" w:rsidRDefault="0091568F" w:rsidP="008716A3">
            <w:pPr>
              <w:numPr>
                <w:ilvl w:val="0"/>
                <w:numId w:val="4"/>
              </w:numPr>
              <w:autoSpaceDE w:val="0"/>
              <w:autoSpaceDN w:val="0"/>
              <w:adjustRightInd w:val="0"/>
              <w:spacing w:after="0" w:line="240" w:lineRule="auto"/>
              <w:ind w:left="426"/>
              <w:jc w:val="both"/>
              <w:rPr>
                <w:rFonts w:ascii="Times New Roman" w:hAnsi="Times New Roman"/>
                <w:sz w:val="24"/>
                <w:szCs w:val="24"/>
                <w:lang w:eastAsia="ru-RU"/>
              </w:rPr>
            </w:pPr>
            <w:r w:rsidRPr="00BD6815">
              <w:rPr>
                <w:rFonts w:ascii="Times New Roman" w:hAnsi="Times New Roman"/>
                <w:sz w:val="24"/>
                <w:szCs w:val="24"/>
                <w:lang w:eastAsia="ru-RU"/>
              </w:rPr>
              <w:t>Proceed from donations</w:t>
            </w:r>
          </w:p>
        </w:tc>
        <w:tc>
          <w:tcPr>
            <w:tcW w:w="4621" w:type="dxa"/>
            <w:tcBorders>
              <w:left w:val="single" w:sz="4" w:space="0" w:color="auto"/>
            </w:tcBorders>
          </w:tcPr>
          <w:p w:rsidR="0091568F" w:rsidRPr="00BD6815" w:rsidRDefault="0091568F" w:rsidP="008716A3">
            <w:pPr>
              <w:numPr>
                <w:ilvl w:val="0"/>
                <w:numId w:val="4"/>
              </w:numPr>
              <w:autoSpaceDE w:val="0"/>
              <w:autoSpaceDN w:val="0"/>
              <w:adjustRightInd w:val="0"/>
              <w:spacing w:after="0" w:line="240" w:lineRule="auto"/>
              <w:ind w:left="341" w:hanging="284"/>
              <w:jc w:val="both"/>
              <w:rPr>
                <w:rFonts w:ascii="Times New Roman" w:hAnsi="Times New Roman"/>
                <w:sz w:val="24"/>
                <w:szCs w:val="24"/>
                <w:lang w:eastAsia="ru-RU"/>
              </w:rPr>
            </w:pPr>
            <w:r w:rsidRPr="00BD6815">
              <w:rPr>
                <w:rFonts w:ascii="Times New Roman" w:hAnsi="Times New Roman"/>
                <w:sz w:val="24"/>
                <w:szCs w:val="24"/>
                <w:lang w:eastAsia="ru-RU"/>
              </w:rPr>
              <w:t>Payments to the lower organizations</w:t>
            </w:r>
          </w:p>
        </w:tc>
      </w:tr>
      <w:tr w:rsidR="0091568F" w:rsidRPr="00BD6815" w:rsidTr="008716A3">
        <w:tc>
          <w:tcPr>
            <w:tcW w:w="4621" w:type="dxa"/>
            <w:tcBorders>
              <w:right w:val="single" w:sz="4" w:space="0" w:color="auto"/>
            </w:tcBorders>
          </w:tcPr>
          <w:p w:rsidR="0091568F" w:rsidRPr="00BD6815" w:rsidRDefault="0091568F" w:rsidP="008716A3">
            <w:pPr>
              <w:numPr>
                <w:ilvl w:val="0"/>
                <w:numId w:val="4"/>
              </w:numPr>
              <w:autoSpaceDE w:val="0"/>
              <w:autoSpaceDN w:val="0"/>
              <w:adjustRightInd w:val="0"/>
              <w:spacing w:after="0" w:line="240" w:lineRule="auto"/>
              <w:ind w:left="426"/>
              <w:jc w:val="both"/>
              <w:rPr>
                <w:rFonts w:ascii="Times New Roman" w:hAnsi="Times New Roman"/>
                <w:sz w:val="24"/>
                <w:szCs w:val="24"/>
                <w:lang w:eastAsia="ru-RU"/>
              </w:rPr>
            </w:pPr>
            <w:r w:rsidRPr="00BD6815">
              <w:rPr>
                <w:rFonts w:ascii="Times New Roman" w:hAnsi="Times New Roman"/>
                <w:sz w:val="24"/>
                <w:szCs w:val="24"/>
                <w:lang w:eastAsia="ru-RU"/>
              </w:rPr>
              <w:t>Proceeds from the arrangements, circulation of press outlets and articles, and other similar profitable activity</w:t>
            </w:r>
          </w:p>
        </w:tc>
        <w:tc>
          <w:tcPr>
            <w:tcW w:w="4621" w:type="dxa"/>
            <w:tcBorders>
              <w:left w:val="single" w:sz="4" w:space="0" w:color="auto"/>
            </w:tcBorders>
          </w:tcPr>
          <w:p w:rsidR="0091568F" w:rsidRPr="00BD6815" w:rsidRDefault="0091568F" w:rsidP="008716A3">
            <w:pPr>
              <w:numPr>
                <w:ilvl w:val="0"/>
                <w:numId w:val="4"/>
              </w:numPr>
              <w:autoSpaceDE w:val="0"/>
              <w:autoSpaceDN w:val="0"/>
              <w:adjustRightInd w:val="0"/>
              <w:spacing w:after="0" w:line="240" w:lineRule="auto"/>
              <w:ind w:left="341" w:hanging="284"/>
              <w:jc w:val="both"/>
              <w:rPr>
                <w:rFonts w:ascii="Times New Roman" w:hAnsi="Times New Roman"/>
                <w:sz w:val="24"/>
                <w:szCs w:val="24"/>
                <w:lang w:eastAsia="ru-RU"/>
              </w:rPr>
            </w:pPr>
            <w:r w:rsidRPr="00BD6815">
              <w:rPr>
                <w:rFonts w:ascii="Times New Roman" w:hAnsi="Times New Roman"/>
                <w:sz w:val="24"/>
                <w:szCs w:val="24"/>
                <w:lang w:eastAsia="ru-RU"/>
              </w:rPr>
              <w:t>Expenditures incurred for maintenance and informational support of political parties</w:t>
            </w:r>
          </w:p>
        </w:tc>
      </w:tr>
      <w:tr w:rsidR="0091568F" w:rsidRPr="00BD6815" w:rsidTr="008716A3">
        <w:tc>
          <w:tcPr>
            <w:tcW w:w="4621" w:type="dxa"/>
            <w:tcBorders>
              <w:right w:val="single" w:sz="4" w:space="0" w:color="auto"/>
            </w:tcBorders>
          </w:tcPr>
          <w:p w:rsidR="0091568F" w:rsidRPr="00BD6815" w:rsidRDefault="0091568F" w:rsidP="008716A3">
            <w:pPr>
              <w:numPr>
                <w:ilvl w:val="0"/>
                <w:numId w:val="4"/>
              </w:numPr>
              <w:autoSpaceDE w:val="0"/>
              <w:autoSpaceDN w:val="0"/>
              <w:adjustRightInd w:val="0"/>
              <w:spacing w:after="0" w:line="240" w:lineRule="auto"/>
              <w:ind w:left="426"/>
              <w:jc w:val="both"/>
              <w:rPr>
                <w:rFonts w:ascii="Times New Roman" w:hAnsi="Times New Roman"/>
                <w:sz w:val="24"/>
                <w:szCs w:val="24"/>
                <w:lang w:eastAsia="ru-RU"/>
              </w:rPr>
            </w:pPr>
            <w:r w:rsidRPr="00BD6815">
              <w:rPr>
                <w:rFonts w:ascii="Times New Roman" w:hAnsi="Times New Roman"/>
                <w:sz w:val="24"/>
                <w:szCs w:val="24"/>
                <w:lang w:eastAsia="ru-RU"/>
              </w:rPr>
              <w:t>Proceed from property</w:t>
            </w:r>
          </w:p>
        </w:tc>
        <w:tc>
          <w:tcPr>
            <w:tcW w:w="4621" w:type="dxa"/>
            <w:tcBorders>
              <w:left w:val="single" w:sz="4" w:space="0" w:color="auto"/>
            </w:tcBorders>
          </w:tcPr>
          <w:p w:rsidR="0091568F" w:rsidRPr="00BD6815" w:rsidRDefault="0091568F" w:rsidP="008716A3">
            <w:pPr>
              <w:numPr>
                <w:ilvl w:val="0"/>
                <w:numId w:val="4"/>
              </w:numPr>
              <w:autoSpaceDE w:val="0"/>
              <w:autoSpaceDN w:val="0"/>
              <w:adjustRightInd w:val="0"/>
              <w:spacing w:after="0" w:line="240" w:lineRule="auto"/>
              <w:ind w:left="341" w:hanging="284"/>
              <w:jc w:val="both"/>
              <w:rPr>
                <w:rFonts w:ascii="Times New Roman" w:hAnsi="Times New Roman"/>
                <w:sz w:val="24"/>
                <w:szCs w:val="24"/>
                <w:lang w:eastAsia="ru-RU"/>
              </w:rPr>
            </w:pPr>
            <w:r w:rsidRPr="00BD6815">
              <w:rPr>
                <w:rFonts w:ascii="Times New Roman" w:hAnsi="Times New Roman"/>
                <w:sz w:val="24"/>
                <w:szCs w:val="24"/>
                <w:lang w:eastAsia="ru-RU"/>
              </w:rPr>
              <w:t>Loan interests</w:t>
            </w:r>
          </w:p>
        </w:tc>
      </w:tr>
      <w:tr w:rsidR="0091568F" w:rsidRPr="00BD6815" w:rsidTr="008716A3">
        <w:tc>
          <w:tcPr>
            <w:tcW w:w="4621" w:type="dxa"/>
            <w:tcBorders>
              <w:right w:val="single" w:sz="4" w:space="0" w:color="auto"/>
            </w:tcBorders>
          </w:tcPr>
          <w:p w:rsidR="0091568F" w:rsidRPr="00BD6815" w:rsidRDefault="0091568F" w:rsidP="008716A3">
            <w:pPr>
              <w:numPr>
                <w:ilvl w:val="0"/>
                <w:numId w:val="4"/>
              </w:numPr>
              <w:autoSpaceDE w:val="0"/>
              <w:autoSpaceDN w:val="0"/>
              <w:adjustRightInd w:val="0"/>
              <w:spacing w:after="0" w:line="240" w:lineRule="auto"/>
              <w:ind w:left="426"/>
              <w:jc w:val="both"/>
              <w:rPr>
                <w:rFonts w:ascii="Times New Roman" w:hAnsi="Times New Roman"/>
                <w:sz w:val="24"/>
                <w:szCs w:val="24"/>
                <w:lang w:eastAsia="ru-RU"/>
              </w:rPr>
            </w:pPr>
            <w:r w:rsidRPr="00BD6815">
              <w:rPr>
                <w:rFonts w:ascii="Times New Roman" w:hAnsi="Times New Roman"/>
                <w:sz w:val="24"/>
                <w:szCs w:val="24"/>
                <w:lang w:eastAsia="ru-RU"/>
              </w:rPr>
              <w:t>Payments of the lower organizations</w:t>
            </w:r>
          </w:p>
        </w:tc>
        <w:tc>
          <w:tcPr>
            <w:tcW w:w="4621" w:type="dxa"/>
            <w:tcBorders>
              <w:left w:val="single" w:sz="4" w:space="0" w:color="auto"/>
            </w:tcBorders>
          </w:tcPr>
          <w:p w:rsidR="0091568F" w:rsidRPr="00BD6815" w:rsidRDefault="0091568F" w:rsidP="008716A3">
            <w:pPr>
              <w:numPr>
                <w:ilvl w:val="0"/>
                <w:numId w:val="4"/>
              </w:numPr>
              <w:autoSpaceDE w:val="0"/>
              <w:autoSpaceDN w:val="0"/>
              <w:adjustRightInd w:val="0"/>
              <w:spacing w:after="0" w:line="240" w:lineRule="auto"/>
              <w:ind w:left="341" w:hanging="284"/>
              <w:jc w:val="both"/>
              <w:rPr>
                <w:rFonts w:ascii="Times New Roman" w:hAnsi="Times New Roman"/>
                <w:sz w:val="24"/>
                <w:szCs w:val="24"/>
                <w:lang w:eastAsia="ru-RU"/>
              </w:rPr>
            </w:pPr>
            <w:r w:rsidRPr="00BD6815">
              <w:rPr>
                <w:rFonts w:ascii="Times New Roman" w:hAnsi="Times New Roman"/>
                <w:sz w:val="24"/>
                <w:szCs w:val="24"/>
                <w:lang w:eastAsia="ru-RU"/>
              </w:rPr>
              <w:t>Individual expenditures</w:t>
            </w:r>
          </w:p>
        </w:tc>
      </w:tr>
      <w:tr w:rsidR="0091568F" w:rsidRPr="00BD6815" w:rsidTr="008716A3">
        <w:tc>
          <w:tcPr>
            <w:tcW w:w="4621" w:type="dxa"/>
            <w:tcBorders>
              <w:right w:val="single" w:sz="4" w:space="0" w:color="auto"/>
            </w:tcBorders>
          </w:tcPr>
          <w:p w:rsidR="0091568F" w:rsidRPr="00BD6815" w:rsidRDefault="0091568F" w:rsidP="008716A3">
            <w:pPr>
              <w:numPr>
                <w:ilvl w:val="0"/>
                <w:numId w:val="4"/>
              </w:numPr>
              <w:autoSpaceDE w:val="0"/>
              <w:autoSpaceDN w:val="0"/>
              <w:adjustRightInd w:val="0"/>
              <w:spacing w:after="0" w:line="240" w:lineRule="auto"/>
              <w:ind w:left="426"/>
              <w:jc w:val="both"/>
              <w:rPr>
                <w:rFonts w:ascii="Times New Roman" w:hAnsi="Times New Roman"/>
                <w:sz w:val="24"/>
                <w:szCs w:val="24"/>
                <w:lang w:eastAsia="ru-RU"/>
              </w:rPr>
            </w:pPr>
            <w:r w:rsidRPr="00BD6815">
              <w:rPr>
                <w:rFonts w:ascii="Times New Roman" w:hAnsi="Times New Roman"/>
                <w:sz w:val="24"/>
                <w:szCs w:val="24"/>
                <w:lang w:eastAsia="ru-RU"/>
              </w:rPr>
              <w:t>Resources received in the form of payment of the expenditures for the election campaign</w:t>
            </w:r>
          </w:p>
        </w:tc>
        <w:tc>
          <w:tcPr>
            <w:tcW w:w="4621" w:type="dxa"/>
            <w:tcBorders>
              <w:left w:val="single" w:sz="4" w:space="0" w:color="auto"/>
            </w:tcBorders>
          </w:tcPr>
          <w:p w:rsidR="0091568F" w:rsidRPr="00BD6815" w:rsidRDefault="0091568F" w:rsidP="008716A3">
            <w:pPr>
              <w:numPr>
                <w:ilvl w:val="0"/>
                <w:numId w:val="4"/>
              </w:numPr>
              <w:autoSpaceDE w:val="0"/>
              <w:autoSpaceDN w:val="0"/>
              <w:adjustRightInd w:val="0"/>
              <w:spacing w:after="0" w:line="240" w:lineRule="auto"/>
              <w:ind w:left="341" w:hanging="284"/>
              <w:jc w:val="both"/>
              <w:rPr>
                <w:rFonts w:ascii="Times New Roman" w:hAnsi="Times New Roman"/>
                <w:sz w:val="24"/>
                <w:szCs w:val="24"/>
                <w:lang w:eastAsia="ru-RU"/>
              </w:rPr>
            </w:pPr>
            <w:r w:rsidRPr="00BD6815">
              <w:rPr>
                <w:rFonts w:ascii="Times New Roman" w:hAnsi="Times New Roman"/>
                <w:sz w:val="24"/>
                <w:szCs w:val="24"/>
                <w:lang w:eastAsia="ru-RU"/>
              </w:rPr>
              <w:t>Other expenditures</w:t>
            </w:r>
          </w:p>
        </w:tc>
      </w:tr>
      <w:tr w:rsidR="0091568F" w:rsidRPr="00BD6815" w:rsidTr="008716A3">
        <w:trPr>
          <w:gridAfter w:val="1"/>
          <w:wAfter w:w="4621" w:type="dxa"/>
        </w:trPr>
        <w:tc>
          <w:tcPr>
            <w:tcW w:w="4621" w:type="dxa"/>
            <w:tcBorders>
              <w:right w:val="single" w:sz="4" w:space="0" w:color="auto"/>
            </w:tcBorders>
          </w:tcPr>
          <w:p w:rsidR="0091568F" w:rsidRPr="00BD6815" w:rsidRDefault="0091568F" w:rsidP="008716A3">
            <w:pPr>
              <w:numPr>
                <w:ilvl w:val="0"/>
                <w:numId w:val="4"/>
              </w:numPr>
              <w:autoSpaceDE w:val="0"/>
              <w:autoSpaceDN w:val="0"/>
              <w:adjustRightInd w:val="0"/>
              <w:spacing w:after="0" w:line="240" w:lineRule="auto"/>
              <w:ind w:left="426"/>
              <w:jc w:val="both"/>
              <w:rPr>
                <w:rFonts w:ascii="Times New Roman" w:hAnsi="Times New Roman"/>
                <w:sz w:val="24"/>
                <w:szCs w:val="24"/>
                <w:lang w:eastAsia="ru-RU"/>
              </w:rPr>
            </w:pPr>
            <w:r w:rsidRPr="00BD6815">
              <w:rPr>
                <w:rFonts w:ascii="Times New Roman" w:hAnsi="Times New Roman"/>
                <w:sz w:val="24"/>
                <w:szCs w:val="24"/>
                <w:lang w:eastAsia="ru-RU"/>
              </w:rPr>
              <w:t>Funds allocated from the state budget</w:t>
            </w:r>
          </w:p>
        </w:tc>
      </w:tr>
      <w:tr w:rsidR="0091568F" w:rsidRPr="00BD6815" w:rsidTr="008716A3">
        <w:trPr>
          <w:gridAfter w:val="1"/>
          <w:wAfter w:w="4621" w:type="dxa"/>
        </w:trPr>
        <w:tc>
          <w:tcPr>
            <w:tcW w:w="4621" w:type="dxa"/>
            <w:tcBorders>
              <w:right w:val="single" w:sz="4" w:space="0" w:color="auto"/>
            </w:tcBorders>
          </w:tcPr>
          <w:p w:rsidR="0091568F" w:rsidRPr="00BD6815" w:rsidRDefault="0091568F" w:rsidP="008716A3">
            <w:pPr>
              <w:numPr>
                <w:ilvl w:val="0"/>
                <w:numId w:val="4"/>
              </w:numPr>
              <w:autoSpaceDE w:val="0"/>
              <w:autoSpaceDN w:val="0"/>
              <w:adjustRightInd w:val="0"/>
              <w:spacing w:after="0" w:line="240" w:lineRule="auto"/>
              <w:ind w:left="426"/>
              <w:jc w:val="both"/>
              <w:rPr>
                <w:rFonts w:ascii="Times New Roman" w:hAnsi="Times New Roman"/>
                <w:sz w:val="24"/>
                <w:szCs w:val="24"/>
                <w:lang w:eastAsia="ru-RU"/>
              </w:rPr>
            </w:pPr>
            <w:r w:rsidRPr="00BD6815">
              <w:rPr>
                <w:rFonts w:ascii="Times New Roman" w:hAnsi="Times New Roman"/>
                <w:sz w:val="24"/>
                <w:szCs w:val="24"/>
                <w:lang w:eastAsia="ru-RU"/>
              </w:rPr>
              <w:t>Funds earned from debts and loans</w:t>
            </w:r>
          </w:p>
        </w:tc>
      </w:tr>
      <w:tr w:rsidR="0091568F" w:rsidRPr="00BD6815" w:rsidTr="009B450F">
        <w:trPr>
          <w:gridAfter w:val="1"/>
          <w:wAfter w:w="4621" w:type="dxa"/>
        </w:trPr>
        <w:tc>
          <w:tcPr>
            <w:tcW w:w="4621" w:type="dxa"/>
            <w:tcBorders>
              <w:right w:val="single" w:sz="4" w:space="0" w:color="auto"/>
            </w:tcBorders>
          </w:tcPr>
          <w:p w:rsidR="0091568F" w:rsidRPr="00BD6815" w:rsidRDefault="0091568F" w:rsidP="008716A3">
            <w:pPr>
              <w:numPr>
                <w:ilvl w:val="0"/>
                <w:numId w:val="4"/>
              </w:numPr>
              <w:autoSpaceDE w:val="0"/>
              <w:autoSpaceDN w:val="0"/>
              <w:adjustRightInd w:val="0"/>
              <w:spacing w:after="0" w:line="240" w:lineRule="auto"/>
              <w:ind w:left="426"/>
              <w:jc w:val="both"/>
              <w:rPr>
                <w:rFonts w:ascii="Times New Roman" w:hAnsi="Times New Roman"/>
                <w:sz w:val="24"/>
                <w:szCs w:val="24"/>
                <w:lang w:eastAsia="ru-RU"/>
              </w:rPr>
            </w:pPr>
            <w:r w:rsidRPr="00BD6815">
              <w:rPr>
                <w:rFonts w:ascii="Times New Roman" w:hAnsi="Times New Roman"/>
                <w:sz w:val="24"/>
                <w:szCs w:val="24"/>
                <w:lang w:eastAsia="ru-RU"/>
              </w:rPr>
              <w:t>Property obtained through succession or inheritance</w:t>
            </w:r>
          </w:p>
        </w:tc>
      </w:tr>
      <w:tr w:rsidR="0091568F" w:rsidRPr="00BD6815" w:rsidTr="009B450F">
        <w:trPr>
          <w:gridAfter w:val="1"/>
          <w:wAfter w:w="4621" w:type="dxa"/>
        </w:trPr>
        <w:tc>
          <w:tcPr>
            <w:tcW w:w="4621" w:type="dxa"/>
            <w:tcBorders>
              <w:right w:val="single" w:sz="4" w:space="0" w:color="auto"/>
            </w:tcBorders>
          </w:tcPr>
          <w:p w:rsidR="0091568F" w:rsidRPr="00BD6815" w:rsidRDefault="0091568F" w:rsidP="008716A3">
            <w:pPr>
              <w:numPr>
                <w:ilvl w:val="0"/>
                <w:numId w:val="4"/>
              </w:numPr>
              <w:ind w:left="426"/>
              <w:rPr>
                <w:rFonts w:ascii="Times New Roman" w:hAnsi="Times New Roman"/>
                <w:sz w:val="24"/>
                <w:szCs w:val="24"/>
              </w:rPr>
            </w:pPr>
            <w:r w:rsidRPr="00BD6815">
              <w:rPr>
                <w:rFonts w:ascii="Times New Roman" w:hAnsi="Times New Roman"/>
                <w:sz w:val="24"/>
                <w:szCs w:val="24"/>
                <w:lang w:eastAsia="ru-RU"/>
              </w:rPr>
              <w:t>Other proceeds</w:t>
            </w:r>
          </w:p>
        </w:tc>
      </w:tr>
    </w:tbl>
    <w:p w:rsidR="005B6812" w:rsidRPr="00BD6815" w:rsidRDefault="005B6812" w:rsidP="009E6516">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 xml:space="preserve">The </w:t>
      </w:r>
      <w:r w:rsidR="009B450F" w:rsidRPr="00BD6815">
        <w:rPr>
          <w:rFonts w:ascii="Times New Roman" w:hAnsi="Times New Roman"/>
          <w:sz w:val="24"/>
          <w:szCs w:val="24"/>
          <w:lang w:eastAsia="ru-RU"/>
        </w:rPr>
        <w:t>LPP</w:t>
      </w:r>
      <w:r w:rsidRPr="00BD6815">
        <w:rPr>
          <w:rFonts w:ascii="Times New Roman" w:hAnsi="Times New Roman"/>
          <w:sz w:val="24"/>
          <w:szCs w:val="24"/>
          <w:lang w:eastAsia="ru-RU"/>
        </w:rPr>
        <w:t xml:space="preserve"> does not regulate membership fees </w:t>
      </w:r>
      <w:r w:rsidR="009B450F" w:rsidRPr="00BD6815">
        <w:rPr>
          <w:rFonts w:ascii="Times New Roman" w:hAnsi="Times New Roman"/>
          <w:sz w:val="24"/>
          <w:szCs w:val="24"/>
          <w:lang w:eastAsia="ru-RU"/>
        </w:rPr>
        <w:t xml:space="preserve">and leaves to internal charters of </w:t>
      </w:r>
      <w:r w:rsidRPr="00BD6815">
        <w:rPr>
          <w:rFonts w:ascii="Times New Roman" w:hAnsi="Times New Roman"/>
          <w:sz w:val="24"/>
          <w:szCs w:val="24"/>
          <w:lang w:eastAsia="ru-RU"/>
        </w:rPr>
        <w:t xml:space="preserve">political parties. </w:t>
      </w:r>
      <w:r w:rsidR="009B450F" w:rsidRPr="00BD6815">
        <w:rPr>
          <w:rFonts w:ascii="Times New Roman" w:hAnsi="Times New Roman"/>
          <w:sz w:val="24"/>
          <w:szCs w:val="24"/>
          <w:lang w:eastAsia="ru-RU"/>
        </w:rPr>
        <w:t xml:space="preserve">A party could set the membership fee at any amount. The law also </w:t>
      </w:r>
      <w:r w:rsidRPr="00BD6815">
        <w:rPr>
          <w:rFonts w:ascii="Times New Roman" w:hAnsi="Times New Roman"/>
          <w:sz w:val="24"/>
          <w:szCs w:val="24"/>
          <w:lang w:eastAsia="ru-RU"/>
        </w:rPr>
        <w:t xml:space="preserve">does not explain </w:t>
      </w:r>
      <w:r w:rsidR="009B450F" w:rsidRPr="00BD6815">
        <w:rPr>
          <w:rFonts w:ascii="Times New Roman" w:hAnsi="Times New Roman"/>
          <w:sz w:val="24"/>
          <w:szCs w:val="24"/>
          <w:lang w:eastAsia="ru-RU"/>
        </w:rPr>
        <w:t xml:space="preserve">what are included in the </w:t>
      </w:r>
      <w:r w:rsidRPr="00BD6815">
        <w:rPr>
          <w:rFonts w:ascii="Times New Roman" w:hAnsi="Times New Roman"/>
          <w:sz w:val="24"/>
          <w:szCs w:val="24"/>
          <w:lang w:eastAsia="ru-RU"/>
        </w:rPr>
        <w:t xml:space="preserve">other proceeds and </w:t>
      </w:r>
      <w:r w:rsidR="009B450F" w:rsidRPr="00BD6815">
        <w:rPr>
          <w:rFonts w:ascii="Times New Roman" w:hAnsi="Times New Roman"/>
          <w:sz w:val="24"/>
          <w:szCs w:val="24"/>
          <w:lang w:eastAsia="ru-RU"/>
        </w:rPr>
        <w:t xml:space="preserve">the </w:t>
      </w:r>
      <w:r w:rsidRPr="00BD6815">
        <w:rPr>
          <w:rFonts w:ascii="Times New Roman" w:hAnsi="Times New Roman"/>
          <w:sz w:val="24"/>
          <w:szCs w:val="24"/>
          <w:lang w:eastAsia="ru-RU"/>
        </w:rPr>
        <w:t xml:space="preserve">other expenditures </w:t>
      </w:r>
      <w:r w:rsidR="009B450F" w:rsidRPr="00BD6815">
        <w:rPr>
          <w:rFonts w:ascii="Times New Roman" w:hAnsi="Times New Roman"/>
          <w:sz w:val="24"/>
          <w:szCs w:val="24"/>
          <w:lang w:eastAsia="ru-RU"/>
        </w:rPr>
        <w:t>categories.</w:t>
      </w:r>
      <w:r w:rsidRPr="00BD6815">
        <w:rPr>
          <w:rFonts w:ascii="Times New Roman" w:hAnsi="Times New Roman"/>
          <w:sz w:val="24"/>
          <w:szCs w:val="24"/>
          <w:lang w:eastAsia="ru-RU"/>
        </w:rPr>
        <w:t xml:space="preserve"> </w:t>
      </w:r>
    </w:p>
    <w:p w:rsidR="009B450F" w:rsidRPr="00BD6815" w:rsidRDefault="002B74DD" w:rsidP="009E6516">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 xml:space="preserve">Political parties are not allowed to own land, industrial enterprises, production unions or cooperatives and </w:t>
      </w:r>
      <w:r w:rsidR="00B41FA7" w:rsidRPr="00BD6815">
        <w:rPr>
          <w:rFonts w:ascii="Times New Roman" w:hAnsi="Times New Roman"/>
          <w:sz w:val="24"/>
          <w:szCs w:val="24"/>
          <w:lang w:eastAsia="ru-RU"/>
        </w:rPr>
        <w:t>may not engaged in business or commercial activity. Political parties may use the premises and other property in accordance with the contracts on debt or lease concluded with other persons.</w:t>
      </w:r>
      <w:r w:rsidR="0079188A" w:rsidRPr="00BD6815">
        <w:rPr>
          <w:rFonts w:ascii="Times New Roman" w:hAnsi="Times New Roman"/>
          <w:sz w:val="24"/>
          <w:szCs w:val="24"/>
          <w:lang w:eastAsia="ru-RU"/>
        </w:rPr>
        <w:t xml:space="preserve"> </w:t>
      </w:r>
      <w:r w:rsidR="005B6812" w:rsidRPr="00BD6815">
        <w:rPr>
          <w:rFonts w:ascii="Times New Roman" w:hAnsi="Times New Roman"/>
          <w:sz w:val="24"/>
          <w:szCs w:val="24"/>
          <w:lang w:eastAsia="ru-RU"/>
        </w:rPr>
        <w:t xml:space="preserve"> </w:t>
      </w:r>
    </w:p>
    <w:p w:rsidR="005B6812" w:rsidRPr="00BD6815" w:rsidRDefault="00B630F1" w:rsidP="009E6516">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 xml:space="preserve">The LPP corresponds to international standards which </w:t>
      </w:r>
      <w:r w:rsidR="009E6516" w:rsidRPr="00BD6815">
        <w:rPr>
          <w:rFonts w:ascii="Times New Roman" w:hAnsi="Times New Roman"/>
          <w:sz w:val="24"/>
          <w:szCs w:val="24"/>
          <w:lang w:eastAsia="ru-RU"/>
        </w:rPr>
        <w:t>call for restricting</w:t>
      </w:r>
      <w:r w:rsidRPr="00BD6815">
        <w:rPr>
          <w:rFonts w:ascii="Times New Roman" w:hAnsi="Times New Roman"/>
          <w:sz w:val="24"/>
          <w:szCs w:val="24"/>
          <w:lang w:eastAsia="ru-RU"/>
        </w:rPr>
        <w:t xml:space="preserve"> anonymous donations in order to avoid corruption. However, political environment </w:t>
      </w:r>
      <w:r w:rsidR="009E6516" w:rsidRPr="00BD6815">
        <w:rPr>
          <w:rFonts w:ascii="Times New Roman" w:hAnsi="Times New Roman"/>
          <w:sz w:val="24"/>
          <w:szCs w:val="24"/>
          <w:lang w:eastAsia="ru-RU"/>
        </w:rPr>
        <w:t>in the country discourages citizens from openly supporting any political party through donations. In practice, the restriction of anonymous donation combined with public perception of negative consequence associated with supporting opposition parties translate into practice in the form of illegal hand to hand donations or d</w:t>
      </w:r>
      <w:r w:rsidR="00F3299C" w:rsidRPr="00BD6815">
        <w:rPr>
          <w:rFonts w:ascii="Times New Roman" w:hAnsi="Times New Roman"/>
          <w:sz w:val="24"/>
          <w:szCs w:val="24"/>
          <w:lang w:eastAsia="ru-RU"/>
        </w:rPr>
        <w:t>onations through a third person.</w:t>
      </w:r>
    </w:p>
    <w:p w:rsidR="005B6812" w:rsidRPr="00BD6815" w:rsidRDefault="009E6516" w:rsidP="009E6516">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In the light of the poor donation culture, p</w:t>
      </w:r>
      <w:r w:rsidR="005B6812" w:rsidRPr="00BD6815">
        <w:rPr>
          <w:rFonts w:ascii="Times New Roman" w:hAnsi="Times New Roman"/>
          <w:sz w:val="24"/>
          <w:szCs w:val="24"/>
          <w:lang w:eastAsia="ru-RU"/>
        </w:rPr>
        <w:t>rohibition of contributions by legal entities and restrictions regarding individual contributions make the financial situation of political parties which do not receive funding from the state budget very difficult.</w:t>
      </w:r>
      <w:r w:rsidRPr="00BD6815">
        <w:rPr>
          <w:rFonts w:ascii="Times New Roman" w:hAnsi="Times New Roman"/>
          <w:sz w:val="24"/>
          <w:szCs w:val="24"/>
          <w:lang w:eastAsia="ru-RU"/>
        </w:rPr>
        <w:t xml:space="preserve"> None of the 44 political parties which published their 2016 financial reports indicated any receipt of donation last year.  </w:t>
      </w:r>
    </w:p>
    <w:p w:rsidR="0063078B" w:rsidRPr="00BD6815" w:rsidRDefault="0063078B" w:rsidP="009E6516">
      <w:pPr>
        <w:autoSpaceDE w:val="0"/>
        <w:autoSpaceDN w:val="0"/>
        <w:adjustRightInd w:val="0"/>
        <w:spacing w:before="120" w:after="120" w:line="240" w:lineRule="auto"/>
        <w:rPr>
          <w:rFonts w:cs="Calibri"/>
          <w:lang w:eastAsia="ru-RU"/>
        </w:rPr>
      </w:pPr>
    </w:p>
    <w:p w:rsidR="009E0FF6" w:rsidRPr="00BD6815" w:rsidRDefault="005B6812" w:rsidP="009E6516">
      <w:pPr>
        <w:autoSpaceDE w:val="0"/>
        <w:autoSpaceDN w:val="0"/>
        <w:adjustRightInd w:val="0"/>
        <w:spacing w:before="120" w:after="120" w:line="240" w:lineRule="auto"/>
        <w:rPr>
          <w:rFonts w:ascii="Times New Roman" w:hAnsi="Times New Roman"/>
          <w:b/>
          <w:bCs/>
          <w:i/>
          <w:sz w:val="24"/>
          <w:szCs w:val="24"/>
          <w:lang w:eastAsia="ru-RU"/>
        </w:rPr>
      </w:pPr>
      <w:r w:rsidRPr="00BD6815">
        <w:rPr>
          <w:rFonts w:ascii="Times New Roman" w:hAnsi="Times New Roman"/>
          <w:b/>
          <w:bCs/>
          <w:i/>
          <w:sz w:val="24"/>
          <w:szCs w:val="24"/>
          <w:lang w:eastAsia="ru-RU"/>
        </w:rPr>
        <w:t xml:space="preserve">Reporting requirements </w:t>
      </w:r>
    </w:p>
    <w:p w:rsidR="0013559B" w:rsidRPr="00BD6815" w:rsidRDefault="009E6516" w:rsidP="0013559B">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F</w:t>
      </w:r>
      <w:r w:rsidR="009E0FF6" w:rsidRPr="00BD6815">
        <w:rPr>
          <w:rFonts w:ascii="Times New Roman" w:hAnsi="Times New Roman"/>
          <w:sz w:val="24"/>
          <w:szCs w:val="24"/>
          <w:lang w:eastAsia="ru-RU"/>
        </w:rPr>
        <w:t xml:space="preserve">inancing procedures of political parties should be governed by the principles of transparency and accountability. </w:t>
      </w:r>
      <w:r w:rsidR="0013559B" w:rsidRPr="00BD6815">
        <w:rPr>
          <w:rFonts w:ascii="Times New Roman" w:hAnsi="Times New Roman"/>
          <w:sz w:val="24"/>
          <w:szCs w:val="24"/>
          <w:lang w:eastAsia="ru-RU"/>
        </w:rPr>
        <w:t xml:space="preserve">Azerbaijan's legislation requires political parties to report on their finances to the CEC once a year </w:t>
      </w:r>
      <w:r w:rsidR="0013559B" w:rsidRPr="00BD6815">
        <w:rPr>
          <w:rFonts w:ascii="Times New Roman" w:hAnsi="Times New Roman"/>
          <w:sz w:val="24"/>
          <w:szCs w:val="24"/>
          <w:lang w:eastAsia="ru-RU"/>
        </w:rPr>
        <w:sym w:font="Symbol" w:char="F02D"/>
      </w:r>
      <w:r w:rsidR="0013559B" w:rsidRPr="00BD6815">
        <w:rPr>
          <w:rFonts w:ascii="Times New Roman" w:hAnsi="Times New Roman"/>
          <w:sz w:val="24"/>
          <w:szCs w:val="24"/>
          <w:lang w:eastAsia="ru-RU"/>
        </w:rPr>
        <w:t xml:space="preserve"> in line with guidelines of the Venice Commission </w:t>
      </w:r>
      <w:r w:rsidR="0013559B" w:rsidRPr="00BD6815">
        <w:rPr>
          <w:rFonts w:ascii="Times New Roman" w:hAnsi="Times New Roman"/>
          <w:sz w:val="24"/>
          <w:szCs w:val="24"/>
          <w:lang w:eastAsia="ru-RU"/>
        </w:rPr>
        <w:sym w:font="Symbol" w:char="F02D"/>
      </w:r>
      <w:r w:rsidR="0013559B" w:rsidRPr="00BD6815">
        <w:rPr>
          <w:rFonts w:ascii="Times New Roman" w:hAnsi="Times New Roman"/>
          <w:sz w:val="24"/>
          <w:szCs w:val="24"/>
          <w:lang w:eastAsia="ru-RU"/>
        </w:rPr>
        <w:t xml:space="preserve"> no later than April 1 of the preceding year. The reports must be accompanied with an opinion of independent audit. As a supervisory body the CEC can ask for additional information and documents and should publish these reports on its website on the following day. </w:t>
      </w:r>
    </w:p>
    <w:p w:rsidR="0013559B" w:rsidRPr="00BD6815" w:rsidRDefault="00825502" w:rsidP="0013559B">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 xml:space="preserve">Political parties </w:t>
      </w:r>
      <w:r w:rsidR="009E6516" w:rsidRPr="00BD6815">
        <w:rPr>
          <w:rFonts w:ascii="Times New Roman" w:hAnsi="Times New Roman"/>
          <w:sz w:val="24"/>
          <w:szCs w:val="24"/>
          <w:lang w:eastAsia="ru-RU"/>
        </w:rPr>
        <w:t xml:space="preserve">are required to report using </w:t>
      </w:r>
      <w:r w:rsidR="00964CD7">
        <w:rPr>
          <w:rFonts w:ascii="Times New Roman" w:hAnsi="Times New Roman"/>
          <w:sz w:val="24"/>
          <w:szCs w:val="24"/>
          <w:lang w:eastAsia="ru-RU"/>
        </w:rPr>
        <w:t xml:space="preserve">a </w:t>
      </w:r>
      <w:r w:rsidR="009E6516" w:rsidRPr="00BD6815">
        <w:rPr>
          <w:rFonts w:ascii="Times New Roman" w:hAnsi="Times New Roman"/>
          <w:sz w:val="24"/>
          <w:szCs w:val="24"/>
          <w:lang w:eastAsia="ru-RU"/>
        </w:rPr>
        <w:t xml:space="preserve">special form </w:t>
      </w:r>
      <w:r w:rsidRPr="00BD6815">
        <w:rPr>
          <w:rFonts w:ascii="Times New Roman" w:hAnsi="Times New Roman"/>
          <w:sz w:val="24"/>
          <w:szCs w:val="24"/>
          <w:lang w:eastAsia="ru-RU"/>
        </w:rPr>
        <w:t xml:space="preserve">which </w:t>
      </w:r>
      <w:r w:rsidR="00964CD7" w:rsidRPr="00BD6815">
        <w:rPr>
          <w:rFonts w:ascii="Times New Roman" w:hAnsi="Times New Roman"/>
          <w:sz w:val="24"/>
          <w:szCs w:val="24"/>
          <w:lang w:eastAsia="ru-RU"/>
        </w:rPr>
        <w:t>includes</w:t>
      </w:r>
      <w:r w:rsidRPr="00BD6815">
        <w:rPr>
          <w:rFonts w:ascii="Times New Roman" w:hAnsi="Times New Roman"/>
          <w:sz w:val="24"/>
          <w:szCs w:val="24"/>
          <w:lang w:eastAsia="ru-RU"/>
        </w:rPr>
        <w:t xml:space="preserve"> questions about membership fees, donations, loans, revenues from real estate and etc. Azerbaijan's legislation complies with international </w:t>
      </w:r>
      <w:r w:rsidRPr="00BD6815">
        <w:rPr>
          <w:rFonts w:ascii="Times New Roman" w:hAnsi="Times New Roman"/>
          <w:sz w:val="24"/>
          <w:szCs w:val="24"/>
          <w:lang w:eastAsia="ru-RU"/>
        </w:rPr>
        <w:lastRenderedPageBreak/>
        <w:t xml:space="preserve">standards, however, when it comes to implementation, </w:t>
      </w:r>
      <w:r w:rsidR="009E6516" w:rsidRPr="00BD6815">
        <w:rPr>
          <w:rFonts w:ascii="Times New Roman" w:hAnsi="Times New Roman"/>
          <w:sz w:val="24"/>
          <w:szCs w:val="24"/>
          <w:lang w:eastAsia="ru-RU"/>
        </w:rPr>
        <w:t xml:space="preserve">the CEC does not have an adequate </w:t>
      </w:r>
      <w:r w:rsidRPr="00BD6815">
        <w:rPr>
          <w:rFonts w:ascii="Times New Roman" w:hAnsi="Times New Roman"/>
          <w:sz w:val="24"/>
          <w:szCs w:val="24"/>
          <w:lang w:eastAsia="ru-RU"/>
        </w:rPr>
        <w:t xml:space="preserve">mechanisms </w:t>
      </w:r>
      <w:r w:rsidR="009E6516" w:rsidRPr="00BD6815">
        <w:rPr>
          <w:rFonts w:ascii="Times New Roman" w:hAnsi="Times New Roman"/>
          <w:sz w:val="24"/>
          <w:szCs w:val="24"/>
          <w:lang w:eastAsia="ru-RU"/>
        </w:rPr>
        <w:t>or</w:t>
      </w:r>
      <w:r w:rsidRPr="00BD6815">
        <w:rPr>
          <w:rFonts w:ascii="Times New Roman" w:hAnsi="Times New Roman"/>
          <w:sz w:val="24"/>
          <w:szCs w:val="24"/>
          <w:lang w:eastAsia="ru-RU"/>
        </w:rPr>
        <w:t xml:space="preserve"> capacity to regulate </w:t>
      </w:r>
      <w:r w:rsidR="0013559B" w:rsidRPr="00BD6815">
        <w:rPr>
          <w:rFonts w:ascii="Times New Roman" w:hAnsi="Times New Roman"/>
          <w:sz w:val="24"/>
          <w:szCs w:val="24"/>
          <w:lang w:eastAsia="ru-RU"/>
        </w:rPr>
        <w:t>and</w:t>
      </w:r>
      <w:r w:rsidRPr="00BD6815">
        <w:rPr>
          <w:rFonts w:ascii="Times New Roman" w:hAnsi="Times New Roman"/>
          <w:sz w:val="24"/>
          <w:szCs w:val="24"/>
          <w:lang w:eastAsia="ru-RU"/>
        </w:rPr>
        <w:t xml:space="preserve"> to investigate the reports properly. </w:t>
      </w:r>
      <w:r w:rsidR="0013559B" w:rsidRPr="00BD6815">
        <w:rPr>
          <w:rFonts w:ascii="Times New Roman" w:hAnsi="Times New Roman"/>
          <w:sz w:val="24"/>
          <w:szCs w:val="24"/>
          <w:lang w:eastAsia="ru-RU"/>
        </w:rPr>
        <w:t xml:space="preserve">This is at odds with the Venice Commission's guidelines which specify that states should empower relevant authorities to control and if need be to sanctions political parties which fall short of regulatory requirements. </w:t>
      </w:r>
    </w:p>
    <w:p w:rsidR="00BB1874" w:rsidRPr="008016E6" w:rsidRDefault="0013559B" w:rsidP="008016E6">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 xml:space="preserve">Out of 55 registered political parties, 44 indicated 0 donations in their 2016 financial report, while 11 have not submitted the reports at all. </w:t>
      </w:r>
    </w:p>
    <w:p w:rsidR="00BB1874" w:rsidRPr="00BD6815" w:rsidRDefault="00BB1874" w:rsidP="00B41FA7">
      <w:pPr>
        <w:autoSpaceDE w:val="0"/>
        <w:autoSpaceDN w:val="0"/>
        <w:adjustRightInd w:val="0"/>
        <w:spacing w:after="0" w:line="240" w:lineRule="auto"/>
        <w:rPr>
          <w:rFonts w:cs="Calibri"/>
          <w:lang w:eastAsia="ru-RU"/>
        </w:rPr>
      </w:pPr>
    </w:p>
    <w:p w:rsidR="00D2795D" w:rsidRPr="00D2795D" w:rsidRDefault="00BB1874" w:rsidP="00D2795D">
      <w:pPr>
        <w:numPr>
          <w:ilvl w:val="0"/>
          <w:numId w:val="11"/>
        </w:numPr>
        <w:autoSpaceDE w:val="0"/>
        <w:autoSpaceDN w:val="0"/>
        <w:adjustRightInd w:val="0"/>
        <w:spacing w:before="120" w:after="120" w:line="240" w:lineRule="auto"/>
        <w:ind w:left="851"/>
        <w:rPr>
          <w:rFonts w:ascii="Times New Roman" w:hAnsi="Times New Roman"/>
          <w:b/>
          <w:sz w:val="24"/>
          <w:szCs w:val="28"/>
          <w:lang w:eastAsia="ru-RU"/>
        </w:rPr>
      </w:pPr>
      <w:r w:rsidRPr="00BD6815">
        <w:rPr>
          <w:rFonts w:ascii="Times New Roman" w:hAnsi="Times New Roman"/>
          <w:b/>
          <w:sz w:val="24"/>
          <w:szCs w:val="28"/>
          <w:lang w:eastAsia="ru-RU"/>
        </w:rPr>
        <w:t xml:space="preserve"> </w:t>
      </w:r>
      <w:r w:rsidR="0063078B" w:rsidRPr="00BD6815">
        <w:rPr>
          <w:rFonts w:ascii="Times New Roman" w:hAnsi="Times New Roman"/>
          <w:b/>
          <w:sz w:val="24"/>
          <w:szCs w:val="28"/>
          <w:lang w:eastAsia="ru-RU"/>
        </w:rPr>
        <w:t xml:space="preserve">Campaign </w:t>
      </w:r>
      <w:r w:rsidR="005D3F10" w:rsidRPr="00BD6815">
        <w:rPr>
          <w:rFonts w:ascii="Times New Roman" w:hAnsi="Times New Roman"/>
          <w:b/>
          <w:sz w:val="24"/>
          <w:szCs w:val="28"/>
          <w:lang w:eastAsia="ru-RU"/>
        </w:rPr>
        <w:t>financing</w:t>
      </w:r>
    </w:p>
    <w:p w:rsidR="00D2795D" w:rsidRPr="00BD6815" w:rsidRDefault="00A368D9" w:rsidP="006C793E">
      <w:pPr>
        <w:autoSpaceDE w:val="0"/>
        <w:autoSpaceDN w:val="0"/>
        <w:adjustRightInd w:val="0"/>
        <w:spacing w:before="120" w:after="120" w:line="240" w:lineRule="auto"/>
        <w:rPr>
          <w:rFonts w:ascii="Times New Roman" w:hAnsi="Times New Roman"/>
          <w:b/>
          <w:i/>
          <w:sz w:val="24"/>
          <w:szCs w:val="28"/>
          <w:lang w:eastAsia="ru-RU"/>
        </w:rPr>
      </w:pPr>
      <w:r w:rsidRPr="00BD6815">
        <w:rPr>
          <w:rFonts w:ascii="Times New Roman" w:hAnsi="Times New Roman"/>
          <w:b/>
          <w:i/>
          <w:sz w:val="24"/>
          <w:szCs w:val="28"/>
          <w:lang w:eastAsia="ru-RU"/>
        </w:rPr>
        <w:t xml:space="preserve">Public </w:t>
      </w:r>
      <w:r w:rsidR="00423FED" w:rsidRPr="00BD6815">
        <w:rPr>
          <w:rFonts w:ascii="Times New Roman" w:hAnsi="Times New Roman"/>
          <w:b/>
          <w:i/>
          <w:sz w:val="24"/>
          <w:szCs w:val="28"/>
          <w:lang w:eastAsia="ru-RU"/>
        </w:rPr>
        <w:t>f</w:t>
      </w:r>
      <w:r w:rsidRPr="00BD6815">
        <w:rPr>
          <w:rFonts w:ascii="Times New Roman" w:hAnsi="Times New Roman"/>
          <w:b/>
          <w:i/>
          <w:sz w:val="24"/>
          <w:szCs w:val="28"/>
          <w:lang w:eastAsia="ru-RU"/>
        </w:rPr>
        <w:t>und</w:t>
      </w:r>
      <w:r w:rsidR="00423FED" w:rsidRPr="00BD6815">
        <w:rPr>
          <w:rFonts w:ascii="Times New Roman" w:hAnsi="Times New Roman"/>
          <w:b/>
          <w:i/>
          <w:sz w:val="24"/>
          <w:szCs w:val="28"/>
          <w:lang w:eastAsia="ru-RU"/>
        </w:rPr>
        <w:t>ing</w:t>
      </w:r>
    </w:p>
    <w:p w:rsidR="002F22BE" w:rsidRPr="00BD6815" w:rsidRDefault="00423FED"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 xml:space="preserve">Public funding for elections include </w:t>
      </w:r>
      <w:r w:rsidR="00A368D9" w:rsidRPr="00BD6815">
        <w:rPr>
          <w:rFonts w:ascii="Times New Roman" w:hAnsi="Times New Roman"/>
          <w:sz w:val="24"/>
          <w:szCs w:val="24"/>
          <w:lang w:eastAsia="ru-RU"/>
        </w:rPr>
        <w:t xml:space="preserve">contribution provided by state in the form of direct </w:t>
      </w:r>
      <w:r w:rsidRPr="00BD6815">
        <w:rPr>
          <w:rFonts w:ascii="Times New Roman" w:hAnsi="Times New Roman"/>
          <w:sz w:val="24"/>
          <w:szCs w:val="24"/>
          <w:lang w:eastAsia="ru-RU"/>
        </w:rPr>
        <w:t>monetary</w:t>
      </w:r>
      <w:r w:rsidR="00A368D9" w:rsidRPr="00BD6815">
        <w:rPr>
          <w:rFonts w:ascii="Times New Roman" w:hAnsi="Times New Roman"/>
          <w:sz w:val="24"/>
          <w:szCs w:val="24"/>
          <w:lang w:eastAsia="ru-RU"/>
        </w:rPr>
        <w:t xml:space="preserve"> allocated from budget or indirect support such as free air time, venues, subsidized transportation for campaign ac</w:t>
      </w:r>
      <w:r w:rsidRPr="00BD6815">
        <w:rPr>
          <w:rFonts w:ascii="Times New Roman" w:hAnsi="Times New Roman"/>
          <w:sz w:val="24"/>
          <w:szCs w:val="24"/>
          <w:lang w:eastAsia="ru-RU"/>
        </w:rPr>
        <w:t xml:space="preserve">tivities or forms of tax relief. </w:t>
      </w:r>
      <w:r w:rsidR="005D3F10" w:rsidRPr="00BD6815">
        <w:rPr>
          <w:rFonts w:ascii="Times New Roman" w:hAnsi="Times New Roman"/>
          <w:sz w:val="24"/>
          <w:szCs w:val="24"/>
          <w:lang w:eastAsia="ru-RU"/>
        </w:rPr>
        <w:t>Campaign financing</w:t>
      </w:r>
      <w:r w:rsidR="0091568F" w:rsidRPr="00BD6815">
        <w:rPr>
          <w:rFonts w:ascii="Times New Roman" w:hAnsi="Times New Roman"/>
          <w:sz w:val="24"/>
          <w:szCs w:val="24"/>
          <w:lang w:eastAsia="ru-RU"/>
        </w:rPr>
        <w:t xml:space="preserve"> </w:t>
      </w:r>
      <w:r w:rsidR="005D3F10" w:rsidRPr="00BD6815">
        <w:rPr>
          <w:rFonts w:ascii="Times New Roman" w:hAnsi="Times New Roman"/>
          <w:sz w:val="24"/>
          <w:szCs w:val="24"/>
          <w:lang w:eastAsia="ru-RU"/>
        </w:rPr>
        <w:t xml:space="preserve">in Azerbaijan is </w:t>
      </w:r>
      <w:r w:rsidR="0091568F" w:rsidRPr="00BD6815">
        <w:rPr>
          <w:rFonts w:ascii="Times New Roman" w:hAnsi="Times New Roman"/>
          <w:sz w:val="24"/>
          <w:szCs w:val="24"/>
          <w:lang w:eastAsia="ru-RU"/>
        </w:rPr>
        <w:t>regulated</w:t>
      </w:r>
      <w:r w:rsidR="00F3299C" w:rsidRPr="00BD6815">
        <w:rPr>
          <w:rFonts w:ascii="Times New Roman" w:hAnsi="Times New Roman"/>
          <w:sz w:val="24"/>
          <w:szCs w:val="24"/>
          <w:lang w:eastAsia="ru-RU"/>
        </w:rPr>
        <w:t xml:space="preserve"> by the Election Code. </w:t>
      </w:r>
      <w:r w:rsidR="001F3D26" w:rsidRPr="00BD6815">
        <w:rPr>
          <w:rFonts w:ascii="Times New Roman" w:hAnsi="Times New Roman"/>
          <w:sz w:val="24"/>
          <w:szCs w:val="24"/>
          <w:lang w:eastAsia="ru-RU"/>
        </w:rPr>
        <w:t>In a departure from international standards, Azerbaijan abolished public f</w:t>
      </w:r>
      <w:r w:rsidR="00A368D9" w:rsidRPr="00BD6815">
        <w:rPr>
          <w:rFonts w:ascii="Times New Roman" w:hAnsi="Times New Roman"/>
          <w:sz w:val="24"/>
          <w:szCs w:val="24"/>
          <w:lang w:eastAsia="ru-RU"/>
        </w:rPr>
        <w:t>inancing for election campaign o</w:t>
      </w:r>
      <w:r w:rsidR="001F3D26" w:rsidRPr="00BD6815">
        <w:rPr>
          <w:rFonts w:ascii="Times New Roman" w:hAnsi="Times New Roman"/>
          <w:sz w:val="24"/>
          <w:szCs w:val="24"/>
          <w:lang w:eastAsia="ru-RU"/>
        </w:rPr>
        <w:t>n</w:t>
      </w:r>
      <w:r w:rsidR="00A368D9" w:rsidRPr="00BD6815">
        <w:rPr>
          <w:rFonts w:ascii="Times New Roman" w:hAnsi="Times New Roman"/>
          <w:sz w:val="24"/>
          <w:szCs w:val="24"/>
          <w:lang w:eastAsia="ru-RU"/>
        </w:rPr>
        <w:t xml:space="preserve"> 22</w:t>
      </w:r>
      <w:r w:rsidR="001F3D26" w:rsidRPr="00BD6815">
        <w:rPr>
          <w:rFonts w:ascii="Times New Roman" w:hAnsi="Times New Roman"/>
          <w:sz w:val="24"/>
          <w:szCs w:val="24"/>
          <w:lang w:eastAsia="ru-RU"/>
        </w:rPr>
        <w:t xml:space="preserve"> </w:t>
      </w:r>
      <w:r w:rsidR="00A368D9" w:rsidRPr="00BD6815">
        <w:rPr>
          <w:rFonts w:ascii="Times New Roman" w:hAnsi="Times New Roman"/>
          <w:sz w:val="24"/>
          <w:szCs w:val="24"/>
          <w:lang w:eastAsia="ru-RU"/>
        </w:rPr>
        <w:t>June 2010 few</w:t>
      </w:r>
      <w:r w:rsidR="001F3D26" w:rsidRPr="00BD6815">
        <w:rPr>
          <w:rFonts w:ascii="Times New Roman" w:hAnsi="Times New Roman"/>
          <w:sz w:val="24"/>
          <w:szCs w:val="24"/>
          <w:lang w:eastAsia="ru-RU"/>
        </w:rPr>
        <w:t xml:space="preserve"> months before the parliamentary elections. The decision was adopted without any public discussion</w:t>
      </w:r>
      <w:r w:rsidR="00C43EDB" w:rsidRPr="00BD6815">
        <w:rPr>
          <w:rFonts w:ascii="Times New Roman" w:hAnsi="Times New Roman"/>
          <w:sz w:val="24"/>
          <w:szCs w:val="24"/>
          <w:lang w:eastAsia="ru-RU"/>
        </w:rPr>
        <w:t>s</w:t>
      </w:r>
      <w:r w:rsidR="001F3D26" w:rsidRPr="00BD6815">
        <w:rPr>
          <w:rFonts w:ascii="Times New Roman" w:hAnsi="Times New Roman"/>
          <w:sz w:val="24"/>
          <w:szCs w:val="24"/>
          <w:lang w:eastAsia="ru-RU"/>
        </w:rPr>
        <w:t xml:space="preserve"> involving civil society </w:t>
      </w:r>
      <w:r w:rsidR="00C43EDB" w:rsidRPr="00BD6815">
        <w:rPr>
          <w:rFonts w:ascii="Times New Roman" w:hAnsi="Times New Roman"/>
          <w:sz w:val="24"/>
          <w:szCs w:val="24"/>
          <w:lang w:eastAsia="ru-RU"/>
        </w:rPr>
        <w:t>or</w:t>
      </w:r>
      <w:r w:rsidR="001F3D26" w:rsidRPr="00BD6815">
        <w:rPr>
          <w:rFonts w:ascii="Times New Roman" w:hAnsi="Times New Roman"/>
          <w:sz w:val="24"/>
          <w:szCs w:val="24"/>
          <w:lang w:eastAsia="ru-RU"/>
        </w:rPr>
        <w:t xml:space="preserve"> political parties, as well as without consulting the Venice Commission and the ODIHR and has had negative impact on political participation </w:t>
      </w:r>
      <w:r w:rsidR="00C00655" w:rsidRPr="00BD6815">
        <w:rPr>
          <w:rFonts w:ascii="Times New Roman" w:hAnsi="Times New Roman"/>
          <w:sz w:val="24"/>
          <w:szCs w:val="24"/>
          <w:lang w:eastAsia="ru-RU"/>
        </w:rPr>
        <w:t xml:space="preserve">in the light of very poorly resourced opposition parties. </w:t>
      </w:r>
    </w:p>
    <w:p w:rsidR="00C00655" w:rsidRPr="00BD6815" w:rsidRDefault="00C43EDB"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 xml:space="preserve">Current </w:t>
      </w:r>
      <w:r w:rsidR="00C00655" w:rsidRPr="00BD6815">
        <w:rPr>
          <w:rFonts w:ascii="Times New Roman" w:hAnsi="Times New Roman"/>
          <w:sz w:val="24"/>
          <w:szCs w:val="24"/>
          <w:lang w:eastAsia="ru-RU"/>
        </w:rPr>
        <w:t xml:space="preserve">legislation </w:t>
      </w:r>
      <w:r w:rsidRPr="00BD6815">
        <w:rPr>
          <w:rFonts w:ascii="Times New Roman" w:hAnsi="Times New Roman"/>
          <w:sz w:val="24"/>
          <w:szCs w:val="24"/>
          <w:lang w:eastAsia="ru-RU"/>
        </w:rPr>
        <w:t xml:space="preserve">stipulates </w:t>
      </w:r>
      <w:r w:rsidR="00C00655" w:rsidRPr="00BD6815">
        <w:rPr>
          <w:rFonts w:ascii="Times New Roman" w:hAnsi="Times New Roman"/>
          <w:sz w:val="24"/>
          <w:szCs w:val="24"/>
          <w:lang w:eastAsia="ru-RU"/>
        </w:rPr>
        <w:t xml:space="preserve">indirect public support through allocation of free airtime on public television, reimbursement of transport expenses related to campaign, reimbursement of salary of candidate, </w:t>
      </w:r>
      <w:r w:rsidRPr="00BD6815">
        <w:rPr>
          <w:rFonts w:ascii="Times New Roman" w:hAnsi="Times New Roman"/>
          <w:sz w:val="24"/>
          <w:szCs w:val="24"/>
          <w:lang w:eastAsia="ru-RU"/>
        </w:rPr>
        <w:t xml:space="preserve">and </w:t>
      </w:r>
      <w:r w:rsidR="00C00655" w:rsidRPr="00BD6815">
        <w:rPr>
          <w:rFonts w:ascii="Times New Roman" w:hAnsi="Times New Roman"/>
          <w:sz w:val="24"/>
          <w:szCs w:val="24"/>
          <w:lang w:eastAsia="ru-RU"/>
        </w:rPr>
        <w:t xml:space="preserve">immunity from criminal liability for registered candidates during the campaign period. </w:t>
      </w:r>
    </w:p>
    <w:p w:rsidR="00423FED" w:rsidRPr="00BD6815" w:rsidRDefault="00423FED"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However, candidates and political parties have to m</w:t>
      </w:r>
      <w:r w:rsidR="007400BB">
        <w:rPr>
          <w:rFonts w:ascii="Times New Roman" w:hAnsi="Times New Roman"/>
          <w:sz w:val="24"/>
          <w:szCs w:val="24"/>
          <w:lang w:eastAsia="ru-RU"/>
        </w:rPr>
        <w:t>e</w:t>
      </w:r>
      <w:r w:rsidRPr="00BD6815">
        <w:rPr>
          <w:rFonts w:ascii="Times New Roman" w:hAnsi="Times New Roman"/>
          <w:sz w:val="24"/>
          <w:szCs w:val="24"/>
          <w:lang w:eastAsia="ru-RU"/>
        </w:rPr>
        <w:t xml:space="preserve">et difficult conditions in order to be eligible for such support. </w:t>
      </w:r>
      <w:r w:rsidR="002F22BE" w:rsidRPr="00BD6815">
        <w:rPr>
          <w:rFonts w:ascii="Times New Roman" w:hAnsi="Times New Roman"/>
          <w:sz w:val="24"/>
          <w:szCs w:val="24"/>
          <w:lang w:eastAsia="ru-RU"/>
        </w:rPr>
        <w:t>For example, in order to qualify for the free airtime on public TV</w:t>
      </w:r>
      <w:r w:rsidRPr="00BD6815">
        <w:rPr>
          <w:rFonts w:ascii="Times New Roman" w:hAnsi="Times New Roman"/>
          <w:sz w:val="24"/>
          <w:szCs w:val="24"/>
          <w:lang w:eastAsia="ru-RU"/>
        </w:rPr>
        <w:t xml:space="preserve"> </w:t>
      </w:r>
      <w:r w:rsidRPr="00BD6815">
        <w:rPr>
          <w:rFonts w:ascii="Times New Roman" w:hAnsi="Times New Roman"/>
          <w:sz w:val="24"/>
          <w:szCs w:val="24"/>
          <w:lang w:eastAsia="ru-RU"/>
        </w:rPr>
        <w:sym w:font="Symbol" w:char="F02D"/>
      </w:r>
      <w:r w:rsidRPr="00BD6815">
        <w:rPr>
          <w:rFonts w:ascii="Times New Roman" w:hAnsi="Times New Roman"/>
          <w:sz w:val="24"/>
          <w:szCs w:val="24"/>
          <w:lang w:eastAsia="ru-RU"/>
        </w:rPr>
        <w:t xml:space="preserve"> one of the most important state support for election participants </w:t>
      </w:r>
      <w:r w:rsidRPr="00BD6815">
        <w:rPr>
          <w:rFonts w:ascii="Times New Roman" w:hAnsi="Times New Roman"/>
          <w:sz w:val="24"/>
          <w:szCs w:val="24"/>
          <w:lang w:eastAsia="ru-RU"/>
        </w:rPr>
        <w:sym w:font="Symbol" w:char="F02D"/>
      </w:r>
      <w:r w:rsidR="002F22BE" w:rsidRPr="00BD6815">
        <w:rPr>
          <w:rFonts w:ascii="Times New Roman" w:hAnsi="Times New Roman"/>
          <w:sz w:val="24"/>
          <w:szCs w:val="24"/>
          <w:lang w:eastAsia="ru-RU"/>
        </w:rPr>
        <w:t xml:space="preserve">, a political party or a bloc of parties should register at least 60 candidates (out of 125 seats) in 60 single –mandate constituencies. No political party or bloc, with the exception of the ruling YAP party, has been able to register 60 candidates since 2005. </w:t>
      </w:r>
    </w:p>
    <w:p w:rsidR="002F22BE" w:rsidRPr="00BD6815" w:rsidRDefault="002F22BE"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 xml:space="preserve">In reality, independent candidates </w:t>
      </w:r>
      <w:r w:rsidR="008B269E" w:rsidRPr="00BD6815">
        <w:rPr>
          <w:rFonts w:ascii="Times New Roman" w:hAnsi="Times New Roman"/>
          <w:sz w:val="24"/>
          <w:szCs w:val="24"/>
          <w:lang w:eastAsia="ru-RU"/>
        </w:rPr>
        <w:t>do not have access</w:t>
      </w:r>
      <w:r w:rsidRPr="00BD6815">
        <w:rPr>
          <w:rFonts w:ascii="Times New Roman" w:hAnsi="Times New Roman"/>
          <w:sz w:val="24"/>
          <w:szCs w:val="24"/>
          <w:lang w:eastAsia="ru-RU"/>
        </w:rPr>
        <w:t xml:space="preserve"> to free air time. </w:t>
      </w:r>
      <w:r w:rsidR="008B269E" w:rsidRPr="00BD6815">
        <w:rPr>
          <w:rFonts w:ascii="Times New Roman" w:hAnsi="Times New Roman"/>
          <w:sz w:val="24"/>
          <w:szCs w:val="24"/>
          <w:lang w:eastAsia="ru-RU"/>
        </w:rPr>
        <w:t>A r</w:t>
      </w:r>
      <w:r w:rsidRPr="00BD6815">
        <w:rPr>
          <w:rFonts w:ascii="Times New Roman" w:hAnsi="Times New Roman"/>
          <w:sz w:val="24"/>
          <w:szCs w:val="24"/>
          <w:lang w:eastAsia="ru-RU"/>
        </w:rPr>
        <w:t xml:space="preserve">egistered candidate </w:t>
      </w:r>
      <w:r w:rsidR="008B269E" w:rsidRPr="00BD6815">
        <w:rPr>
          <w:rFonts w:ascii="Times New Roman" w:hAnsi="Times New Roman"/>
          <w:sz w:val="24"/>
          <w:szCs w:val="24"/>
          <w:lang w:eastAsia="ru-RU"/>
        </w:rPr>
        <w:t xml:space="preserve">is entitled to have </w:t>
      </w:r>
      <w:r w:rsidRPr="00BD6815">
        <w:rPr>
          <w:rFonts w:ascii="Times New Roman" w:hAnsi="Times New Roman"/>
          <w:sz w:val="24"/>
          <w:szCs w:val="24"/>
          <w:lang w:eastAsia="ru-RU"/>
        </w:rPr>
        <w:t xml:space="preserve">access to the public television and radio companies broadcasted in less than half of the territory of </w:t>
      </w:r>
      <w:r w:rsidR="008B269E" w:rsidRPr="00BD6815">
        <w:rPr>
          <w:rFonts w:ascii="Times New Roman" w:hAnsi="Times New Roman"/>
          <w:sz w:val="24"/>
          <w:szCs w:val="24"/>
          <w:lang w:eastAsia="ru-RU"/>
        </w:rPr>
        <w:t xml:space="preserve">the country, but Azerbaijan does not have such a public television or radio due to its small size. These conditions effectively prevent candidates and </w:t>
      </w:r>
      <w:r w:rsidRPr="00BD6815">
        <w:rPr>
          <w:rFonts w:ascii="Times New Roman" w:hAnsi="Times New Roman"/>
          <w:sz w:val="24"/>
          <w:szCs w:val="24"/>
          <w:lang w:eastAsia="ru-RU"/>
        </w:rPr>
        <w:t xml:space="preserve">political parties and blocs with less than 60 registered candidates </w:t>
      </w:r>
      <w:r w:rsidR="008B269E" w:rsidRPr="00BD6815">
        <w:rPr>
          <w:rFonts w:ascii="Times New Roman" w:hAnsi="Times New Roman"/>
          <w:sz w:val="24"/>
          <w:szCs w:val="24"/>
          <w:lang w:eastAsia="ru-RU"/>
        </w:rPr>
        <w:t>from</w:t>
      </w:r>
      <w:r w:rsidRPr="00BD6815">
        <w:rPr>
          <w:rFonts w:ascii="Times New Roman" w:hAnsi="Times New Roman"/>
          <w:sz w:val="24"/>
          <w:szCs w:val="24"/>
          <w:lang w:eastAsia="ru-RU"/>
        </w:rPr>
        <w:t xml:space="preserve"> access</w:t>
      </w:r>
      <w:r w:rsidR="008B269E" w:rsidRPr="00BD6815">
        <w:rPr>
          <w:rFonts w:ascii="Times New Roman" w:hAnsi="Times New Roman"/>
          <w:sz w:val="24"/>
          <w:szCs w:val="24"/>
          <w:lang w:eastAsia="ru-RU"/>
        </w:rPr>
        <w:t>ing</w:t>
      </w:r>
      <w:r w:rsidRPr="00BD6815">
        <w:rPr>
          <w:rFonts w:ascii="Times New Roman" w:hAnsi="Times New Roman"/>
          <w:sz w:val="24"/>
          <w:szCs w:val="24"/>
          <w:lang w:eastAsia="ru-RU"/>
        </w:rPr>
        <w:t xml:space="preserve"> free airtime.</w:t>
      </w:r>
    </w:p>
    <w:p w:rsidR="002F22BE" w:rsidRPr="00BD6815" w:rsidRDefault="002F22BE"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 xml:space="preserve">The CEC is required to reimburse transport expenses occurred within the area of the constituency of registered candidate with exception of taxi. Also state bodies and municipalities should provide free suitable venues (buildings, rooms) to registered candidates and political parties for meetings with voters. The owner </w:t>
      </w:r>
      <w:r w:rsidR="00BC5581" w:rsidRPr="00BD6815">
        <w:rPr>
          <w:rFonts w:ascii="Times New Roman" w:hAnsi="Times New Roman"/>
          <w:sz w:val="24"/>
          <w:szCs w:val="24"/>
          <w:lang w:eastAsia="ru-RU"/>
        </w:rPr>
        <w:t xml:space="preserve">should offer same venue with same conditions to all candidates or political parties. </w:t>
      </w:r>
      <w:r w:rsidR="00930A33" w:rsidRPr="00BD6815">
        <w:rPr>
          <w:rFonts w:ascii="Times New Roman" w:hAnsi="Times New Roman"/>
          <w:sz w:val="24"/>
          <w:szCs w:val="24"/>
          <w:lang w:eastAsia="ru-RU"/>
        </w:rPr>
        <w:t>However in practice, opposition representatives informed the ODIHR's mission</w:t>
      </w:r>
      <w:r w:rsidR="00930A33" w:rsidRPr="00BD6815">
        <w:rPr>
          <w:rStyle w:val="FootnoteReference"/>
          <w:rFonts w:ascii="Times New Roman" w:hAnsi="Times New Roman"/>
          <w:sz w:val="24"/>
          <w:szCs w:val="24"/>
          <w:lang w:eastAsia="ru-RU"/>
        </w:rPr>
        <w:footnoteReference w:id="3"/>
      </w:r>
      <w:r w:rsidR="00930A33" w:rsidRPr="00BD6815">
        <w:rPr>
          <w:rFonts w:ascii="Times New Roman" w:hAnsi="Times New Roman"/>
          <w:sz w:val="24"/>
          <w:szCs w:val="24"/>
          <w:lang w:eastAsia="ru-RU"/>
        </w:rPr>
        <w:t xml:space="preserve"> that "they often face difficulties in obtaining authorization for public meetings and, when approved, that they are often confined to venues that are not easily accessible." </w:t>
      </w:r>
      <w:r w:rsidRPr="00BD6815">
        <w:rPr>
          <w:rFonts w:ascii="Times New Roman" w:hAnsi="Times New Roman"/>
          <w:sz w:val="24"/>
          <w:szCs w:val="24"/>
          <w:lang w:eastAsia="ru-RU"/>
        </w:rPr>
        <w:t>Candidates are</w:t>
      </w:r>
      <w:r w:rsidR="00BC5581" w:rsidRPr="00BD6815">
        <w:rPr>
          <w:rFonts w:ascii="Times New Roman" w:hAnsi="Times New Roman"/>
          <w:sz w:val="24"/>
          <w:szCs w:val="24"/>
          <w:lang w:eastAsia="ru-RU"/>
        </w:rPr>
        <w:t xml:space="preserve"> also</w:t>
      </w:r>
      <w:r w:rsidRPr="00BD6815">
        <w:rPr>
          <w:rFonts w:ascii="Times New Roman" w:hAnsi="Times New Roman"/>
          <w:sz w:val="24"/>
          <w:szCs w:val="24"/>
          <w:lang w:eastAsia="ru-RU"/>
        </w:rPr>
        <w:t xml:space="preserve"> entitled to unpaid vacation from their employees and should be </w:t>
      </w:r>
      <w:r w:rsidR="00BC5581" w:rsidRPr="00BD6815">
        <w:rPr>
          <w:rFonts w:ascii="Times New Roman" w:hAnsi="Times New Roman"/>
          <w:sz w:val="24"/>
          <w:szCs w:val="24"/>
          <w:lang w:eastAsia="ru-RU"/>
        </w:rPr>
        <w:t xml:space="preserve">reimbursed in an amount of </w:t>
      </w:r>
      <w:r w:rsidRPr="00BD6815">
        <w:rPr>
          <w:rFonts w:ascii="Times New Roman" w:hAnsi="Times New Roman"/>
          <w:sz w:val="24"/>
          <w:szCs w:val="24"/>
          <w:lang w:eastAsia="ru-RU"/>
        </w:rPr>
        <w:t xml:space="preserve">official average salary by the election bodies during the period of elections. </w:t>
      </w:r>
    </w:p>
    <w:p w:rsidR="00BF6804" w:rsidRPr="00BD6815" w:rsidRDefault="00BF6804" w:rsidP="00C00655">
      <w:pPr>
        <w:autoSpaceDE w:val="0"/>
        <w:autoSpaceDN w:val="0"/>
        <w:adjustRightInd w:val="0"/>
        <w:jc w:val="both"/>
        <w:rPr>
          <w:rFonts w:ascii="Times New Roman" w:hAnsi="Times New Roman"/>
          <w:b/>
          <w:i/>
          <w:sz w:val="24"/>
          <w:szCs w:val="28"/>
          <w:lang w:eastAsia="ru-RU"/>
        </w:rPr>
      </w:pPr>
    </w:p>
    <w:p w:rsidR="005C5434" w:rsidRPr="00BD6815" w:rsidRDefault="005C5434" w:rsidP="00BB1874">
      <w:pPr>
        <w:autoSpaceDE w:val="0"/>
        <w:autoSpaceDN w:val="0"/>
        <w:adjustRightInd w:val="0"/>
        <w:spacing w:before="120" w:after="120" w:line="240" w:lineRule="auto"/>
        <w:jc w:val="both"/>
        <w:rPr>
          <w:rFonts w:ascii="Times New Roman" w:hAnsi="Times New Roman"/>
          <w:b/>
          <w:i/>
          <w:sz w:val="24"/>
          <w:szCs w:val="28"/>
          <w:lang w:eastAsia="ru-RU"/>
        </w:rPr>
      </w:pPr>
      <w:r w:rsidRPr="00BD6815">
        <w:rPr>
          <w:rFonts w:ascii="Times New Roman" w:hAnsi="Times New Roman"/>
          <w:b/>
          <w:i/>
          <w:sz w:val="24"/>
          <w:szCs w:val="28"/>
          <w:lang w:eastAsia="ru-RU"/>
        </w:rPr>
        <w:t xml:space="preserve">Private </w:t>
      </w:r>
      <w:r w:rsidR="00BC5581" w:rsidRPr="00BD6815">
        <w:rPr>
          <w:rFonts w:ascii="Times New Roman" w:hAnsi="Times New Roman"/>
          <w:b/>
          <w:i/>
          <w:sz w:val="24"/>
          <w:szCs w:val="28"/>
          <w:lang w:eastAsia="ru-RU"/>
        </w:rPr>
        <w:t>funding</w:t>
      </w:r>
    </w:p>
    <w:p w:rsidR="001629D0" w:rsidRPr="00BD6815" w:rsidRDefault="006C793E" w:rsidP="00BB1874">
      <w:pPr>
        <w:autoSpaceDE w:val="0"/>
        <w:autoSpaceDN w:val="0"/>
        <w:adjustRightInd w:val="0"/>
        <w:spacing w:before="120" w:after="120" w:line="240" w:lineRule="auto"/>
        <w:jc w:val="both"/>
        <w:rPr>
          <w:rFonts w:ascii="Times New Roman" w:hAnsi="Times New Roman"/>
          <w:sz w:val="24"/>
          <w:lang w:eastAsia="ru-RU"/>
        </w:rPr>
      </w:pPr>
      <w:r w:rsidRPr="00BD6815">
        <w:rPr>
          <w:rFonts w:ascii="Times New Roman" w:hAnsi="Times New Roman"/>
          <w:sz w:val="24"/>
          <w:lang w:eastAsia="ru-RU"/>
        </w:rPr>
        <w:t xml:space="preserve">Azerbaijan's legislation mainly is in line with international standards with regards to the private contributions to election campaign financing. The legislation stipulates </w:t>
      </w:r>
      <w:r w:rsidR="001629D0" w:rsidRPr="00BD6815">
        <w:rPr>
          <w:rFonts w:ascii="Times New Roman" w:hAnsi="Times New Roman"/>
          <w:sz w:val="24"/>
          <w:lang w:eastAsia="ru-RU"/>
        </w:rPr>
        <w:t xml:space="preserve">the creation of election fund by a political party, a bloc of parties, a campaign group or an individual candidate. Financing of elections are carried out via the election funds. The election fund consists of </w:t>
      </w:r>
      <w:r w:rsidR="00FD333F" w:rsidRPr="00BD6815">
        <w:rPr>
          <w:rFonts w:ascii="Times New Roman" w:hAnsi="Times New Roman"/>
          <w:sz w:val="24"/>
          <w:lang w:eastAsia="ru-RU"/>
        </w:rPr>
        <w:t xml:space="preserve">financial and in-kind </w:t>
      </w:r>
      <w:r w:rsidR="002A217A" w:rsidRPr="00BD6815">
        <w:rPr>
          <w:rFonts w:ascii="Times New Roman" w:hAnsi="Times New Roman"/>
          <w:sz w:val="24"/>
          <w:lang w:eastAsia="ru-RU"/>
        </w:rPr>
        <w:t>donations</w:t>
      </w:r>
      <w:r w:rsidR="001629D0" w:rsidRPr="00BD6815">
        <w:rPr>
          <w:rFonts w:ascii="Times New Roman" w:hAnsi="Times New Roman"/>
          <w:sz w:val="24"/>
          <w:lang w:eastAsia="ru-RU"/>
        </w:rPr>
        <w:t xml:space="preserve"> and special </w:t>
      </w:r>
      <w:r w:rsidR="001629D0" w:rsidRPr="00BD6815">
        <w:rPr>
          <w:rFonts w:ascii="Times New Roman" w:hAnsi="Times New Roman"/>
          <w:sz w:val="24"/>
          <w:lang w:eastAsia="ru-RU"/>
        </w:rPr>
        <w:lastRenderedPageBreak/>
        <w:t xml:space="preserve">funds of </w:t>
      </w:r>
      <w:r w:rsidR="00BC5581" w:rsidRPr="00BD6815">
        <w:rPr>
          <w:rFonts w:ascii="Times New Roman" w:hAnsi="Times New Roman"/>
          <w:sz w:val="24"/>
          <w:lang w:eastAsia="ru-RU"/>
        </w:rPr>
        <w:t xml:space="preserve">own resources of </w:t>
      </w:r>
      <w:r w:rsidR="001629D0" w:rsidRPr="00BD6815">
        <w:rPr>
          <w:rFonts w:ascii="Times New Roman" w:hAnsi="Times New Roman"/>
          <w:sz w:val="24"/>
          <w:lang w:eastAsia="ru-RU"/>
        </w:rPr>
        <w:t>candidate</w:t>
      </w:r>
      <w:r w:rsidR="00BC5581" w:rsidRPr="00BD6815">
        <w:rPr>
          <w:rFonts w:ascii="Times New Roman" w:hAnsi="Times New Roman"/>
          <w:sz w:val="24"/>
          <w:lang w:eastAsia="ru-RU"/>
        </w:rPr>
        <w:t>s</w:t>
      </w:r>
      <w:r w:rsidR="001629D0" w:rsidRPr="00BD6815">
        <w:rPr>
          <w:rFonts w:ascii="Times New Roman" w:hAnsi="Times New Roman"/>
          <w:sz w:val="24"/>
          <w:lang w:eastAsia="ru-RU"/>
        </w:rPr>
        <w:t>,</w:t>
      </w:r>
      <w:r w:rsidR="00FD333F" w:rsidRPr="00BD6815">
        <w:rPr>
          <w:rFonts w:ascii="Times New Roman" w:hAnsi="Times New Roman"/>
          <w:sz w:val="24"/>
          <w:lang w:eastAsia="ru-RU"/>
        </w:rPr>
        <w:t xml:space="preserve"> political parties,</w:t>
      </w:r>
      <w:r w:rsidR="001629D0" w:rsidRPr="00BD6815">
        <w:rPr>
          <w:rFonts w:ascii="Times New Roman" w:hAnsi="Times New Roman"/>
          <w:sz w:val="24"/>
          <w:lang w:eastAsia="ru-RU"/>
        </w:rPr>
        <w:t xml:space="preserve"> groups of political parties or</w:t>
      </w:r>
      <w:r w:rsidR="00FD333F" w:rsidRPr="00BD6815">
        <w:rPr>
          <w:rFonts w:ascii="Times New Roman" w:hAnsi="Times New Roman"/>
          <w:sz w:val="24"/>
          <w:lang w:eastAsia="ru-RU"/>
        </w:rPr>
        <w:t xml:space="preserve"> referendum campaign groups.</w:t>
      </w:r>
      <w:r w:rsidR="002F22BE" w:rsidRPr="00BD6815">
        <w:rPr>
          <w:rFonts w:cs="Calibri"/>
          <w:lang w:eastAsia="ru-RU"/>
        </w:rPr>
        <w:t xml:space="preserve"> </w:t>
      </w:r>
      <w:r w:rsidR="00BC5581" w:rsidRPr="00BD6815">
        <w:rPr>
          <w:rFonts w:ascii="Times New Roman" w:hAnsi="Times New Roman"/>
          <w:sz w:val="24"/>
          <w:lang w:eastAsia="ru-RU"/>
        </w:rPr>
        <w:t>Political parties and blocs of political parties that have nominated or registered candidates in more than 60 single-mandate</w:t>
      </w:r>
      <w:r w:rsidR="007400BB">
        <w:rPr>
          <w:rFonts w:ascii="Times New Roman" w:hAnsi="Times New Roman"/>
          <w:sz w:val="24"/>
          <w:lang w:eastAsia="ru-RU"/>
        </w:rPr>
        <w:t>s</w:t>
      </w:r>
      <w:r w:rsidR="00BC5581" w:rsidRPr="00BD6815">
        <w:rPr>
          <w:rFonts w:ascii="Times New Roman" w:hAnsi="Times New Roman"/>
          <w:sz w:val="24"/>
          <w:lang w:eastAsia="ru-RU"/>
        </w:rPr>
        <w:t xml:space="preserve"> could create a unified election fund.</w:t>
      </w:r>
      <w:r w:rsidR="00BC5581" w:rsidRPr="00BD6815">
        <w:rPr>
          <w:rFonts w:cs="Calibri"/>
          <w:lang w:eastAsia="ru-RU"/>
        </w:rPr>
        <w:t xml:space="preserve"> </w:t>
      </w:r>
    </w:p>
    <w:p w:rsidR="002F22BE" w:rsidRDefault="001629D0" w:rsidP="00BB1874">
      <w:pPr>
        <w:autoSpaceDE w:val="0"/>
        <w:autoSpaceDN w:val="0"/>
        <w:adjustRightInd w:val="0"/>
        <w:spacing w:before="120" w:after="120" w:line="240" w:lineRule="auto"/>
        <w:jc w:val="both"/>
        <w:rPr>
          <w:rFonts w:ascii="Times New Roman" w:hAnsi="Times New Roman"/>
          <w:sz w:val="24"/>
          <w:lang w:eastAsia="ru-RU"/>
        </w:rPr>
      </w:pPr>
      <w:r w:rsidRPr="00BD6815">
        <w:rPr>
          <w:rFonts w:ascii="Times New Roman" w:hAnsi="Times New Roman"/>
          <w:sz w:val="24"/>
          <w:lang w:eastAsia="ru-RU"/>
        </w:rPr>
        <w:t>The legislation limits the maximum amount of an election fund</w:t>
      </w:r>
      <w:r w:rsidR="00BC5581" w:rsidRPr="00BD6815">
        <w:rPr>
          <w:rFonts w:ascii="Times New Roman" w:hAnsi="Times New Roman"/>
          <w:sz w:val="24"/>
          <w:lang w:eastAsia="ru-RU"/>
        </w:rPr>
        <w:t xml:space="preserve"> for various elections/referendum and stipulates additional restrictions listed below (in </w:t>
      </w:r>
      <w:proofErr w:type="spellStart"/>
      <w:r w:rsidR="00BC5581" w:rsidRPr="00BD6815">
        <w:rPr>
          <w:rFonts w:ascii="Times New Roman" w:hAnsi="Times New Roman"/>
          <w:sz w:val="24"/>
          <w:lang w:eastAsia="ru-RU"/>
        </w:rPr>
        <w:t>manat</w:t>
      </w:r>
      <w:proofErr w:type="spellEnd"/>
      <w:r w:rsidR="00BC5581" w:rsidRPr="00BD6815">
        <w:rPr>
          <w:rFonts w:ascii="Times New Roman" w:hAnsi="Times New Roman"/>
          <w:sz w:val="24"/>
          <w:lang w:eastAsia="ru-RU"/>
        </w:rPr>
        <w:t>):</w:t>
      </w:r>
    </w:p>
    <w:p w:rsidR="00116699" w:rsidRDefault="00116699" w:rsidP="00BB1874">
      <w:pPr>
        <w:autoSpaceDE w:val="0"/>
        <w:autoSpaceDN w:val="0"/>
        <w:adjustRightInd w:val="0"/>
        <w:spacing w:before="120" w:after="120" w:line="240" w:lineRule="auto"/>
        <w:jc w:val="both"/>
        <w:rPr>
          <w:rFonts w:ascii="Times New Roman" w:hAnsi="Times New Roman"/>
          <w:sz w:val="24"/>
          <w:lang w:eastAsia="ru-RU"/>
        </w:rPr>
      </w:pPr>
    </w:p>
    <w:p w:rsidR="00B934DF" w:rsidRPr="00BD6815" w:rsidRDefault="00B934DF" w:rsidP="00BB1874">
      <w:pPr>
        <w:autoSpaceDE w:val="0"/>
        <w:autoSpaceDN w:val="0"/>
        <w:adjustRightInd w:val="0"/>
        <w:spacing w:before="120" w:after="120" w:line="240" w:lineRule="auto"/>
        <w:jc w:val="both"/>
        <w:rPr>
          <w:rFonts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E62266" w:rsidRPr="00BD6815" w:rsidTr="00BC5581">
        <w:tc>
          <w:tcPr>
            <w:tcW w:w="2310" w:type="dxa"/>
            <w:shd w:val="clear" w:color="auto" w:fill="000000"/>
          </w:tcPr>
          <w:p w:rsidR="00E62266" w:rsidRPr="00BD6815" w:rsidRDefault="00691C05" w:rsidP="00BC5581">
            <w:pPr>
              <w:autoSpaceDE w:val="0"/>
              <w:autoSpaceDN w:val="0"/>
              <w:adjustRightInd w:val="0"/>
              <w:jc w:val="center"/>
              <w:rPr>
                <w:rFonts w:ascii="Times New Roman" w:hAnsi="Times New Roman"/>
                <w:b/>
                <w:sz w:val="24"/>
                <w:lang w:eastAsia="ru-RU"/>
              </w:rPr>
            </w:pPr>
            <w:r w:rsidRPr="00BD6815">
              <w:rPr>
                <w:rFonts w:ascii="Times New Roman" w:hAnsi="Times New Roman"/>
                <w:b/>
                <w:sz w:val="24"/>
                <w:lang w:eastAsia="ru-RU"/>
              </w:rPr>
              <w:t>Election fund</w:t>
            </w:r>
          </w:p>
        </w:tc>
        <w:tc>
          <w:tcPr>
            <w:tcW w:w="2310" w:type="dxa"/>
            <w:shd w:val="clear" w:color="auto" w:fill="000000"/>
          </w:tcPr>
          <w:p w:rsidR="00E62266" w:rsidRPr="00BD6815" w:rsidRDefault="00E62266" w:rsidP="00BC5581">
            <w:pPr>
              <w:autoSpaceDE w:val="0"/>
              <w:autoSpaceDN w:val="0"/>
              <w:adjustRightInd w:val="0"/>
              <w:jc w:val="center"/>
              <w:rPr>
                <w:rFonts w:ascii="Times New Roman" w:hAnsi="Times New Roman"/>
                <w:b/>
                <w:sz w:val="24"/>
                <w:lang w:eastAsia="ru-RU"/>
              </w:rPr>
            </w:pPr>
            <w:r w:rsidRPr="00BD6815">
              <w:rPr>
                <w:rFonts w:ascii="Times New Roman" w:hAnsi="Times New Roman"/>
                <w:b/>
                <w:sz w:val="24"/>
                <w:lang w:eastAsia="ru-RU"/>
              </w:rPr>
              <w:t>Referendum</w:t>
            </w:r>
            <w:r w:rsidR="00BC5581" w:rsidRPr="00BD6815">
              <w:rPr>
                <w:rFonts w:ascii="Times New Roman" w:hAnsi="Times New Roman"/>
                <w:b/>
                <w:sz w:val="24"/>
                <w:lang w:eastAsia="ru-RU"/>
              </w:rPr>
              <w:t xml:space="preserve"> </w:t>
            </w:r>
          </w:p>
        </w:tc>
        <w:tc>
          <w:tcPr>
            <w:tcW w:w="2311" w:type="dxa"/>
            <w:shd w:val="clear" w:color="auto" w:fill="000000"/>
          </w:tcPr>
          <w:p w:rsidR="00E62266" w:rsidRPr="00BD6815" w:rsidRDefault="00E62266" w:rsidP="00BC5581">
            <w:pPr>
              <w:autoSpaceDE w:val="0"/>
              <w:autoSpaceDN w:val="0"/>
              <w:adjustRightInd w:val="0"/>
              <w:jc w:val="center"/>
              <w:rPr>
                <w:rFonts w:ascii="Times New Roman" w:hAnsi="Times New Roman"/>
                <w:b/>
                <w:sz w:val="24"/>
                <w:lang w:eastAsia="ru-RU"/>
              </w:rPr>
            </w:pPr>
            <w:r w:rsidRPr="00BD6815">
              <w:rPr>
                <w:rFonts w:ascii="Times New Roman" w:hAnsi="Times New Roman"/>
                <w:b/>
                <w:sz w:val="24"/>
                <w:lang w:eastAsia="ru-RU"/>
              </w:rPr>
              <w:t>Parliament</w:t>
            </w:r>
          </w:p>
        </w:tc>
        <w:tc>
          <w:tcPr>
            <w:tcW w:w="2311" w:type="dxa"/>
            <w:shd w:val="clear" w:color="auto" w:fill="000000"/>
          </w:tcPr>
          <w:p w:rsidR="00E62266" w:rsidRPr="00BD6815" w:rsidRDefault="00E62266" w:rsidP="00BC5581">
            <w:pPr>
              <w:autoSpaceDE w:val="0"/>
              <w:autoSpaceDN w:val="0"/>
              <w:adjustRightInd w:val="0"/>
              <w:jc w:val="center"/>
              <w:rPr>
                <w:rFonts w:ascii="Times New Roman" w:hAnsi="Times New Roman"/>
                <w:b/>
                <w:sz w:val="24"/>
                <w:lang w:eastAsia="ru-RU"/>
              </w:rPr>
            </w:pPr>
            <w:r w:rsidRPr="00BD6815">
              <w:rPr>
                <w:rFonts w:ascii="Times New Roman" w:hAnsi="Times New Roman"/>
                <w:b/>
                <w:sz w:val="24"/>
                <w:lang w:eastAsia="ru-RU"/>
              </w:rPr>
              <w:t>Presidential</w:t>
            </w:r>
          </w:p>
        </w:tc>
      </w:tr>
      <w:tr w:rsidR="00E62266" w:rsidRPr="00BD6815" w:rsidTr="00BC5581">
        <w:tc>
          <w:tcPr>
            <w:tcW w:w="2310" w:type="dxa"/>
          </w:tcPr>
          <w:p w:rsidR="00E62266" w:rsidRPr="00BD6815" w:rsidRDefault="00BC5581" w:rsidP="00BC5581">
            <w:pPr>
              <w:autoSpaceDE w:val="0"/>
              <w:autoSpaceDN w:val="0"/>
              <w:adjustRightInd w:val="0"/>
              <w:jc w:val="both"/>
              <w:rPr>
                <w:rFonts w:ascii="Times New Roman" w:hAnsi="Times New Roman"/>
                <w:sz w:val="24"/>
                <w:lang w:eastAsia="ru-RU"/>
              </w:rPr>
            </w:pPr>
            <w:r w:rsidRPr="00BD6815">
              <w:rPr>
                <w:rFonts w:ascii="Times New Roman" w:hAnsi="Times New Roman"/>
                <w:sz w:val="24"/>
              </w:rPr>
              <w:t>S</w:t>
            </w:r>
            <w:r w:rsidR="00E62266" w:rsidRPr="00BD6815">
              <w:rPr>
                <w:rFonts w:ascii="Times New Roman" w:hAnsi="Times New Roman"/>
                <w:sz w:val="24"/>
              </w:rPr>
              <w:t xml:space="preserve">pecial funds </w:t>
            </w:r>
            <w:r w:rsidRPr="00BD6815">
              <w:rPr>
                <w:rFonts w:ascii="Times New Roman" w:hAnsi="Times New Roman"/>
                <w:sz w:val="24"/>
              </w:rPr>
              <w:t>(own resources of a candidate, a political party or a referendum campaign)</w:t>
            </w:r>
          </w:p>
        </w:tc>
        <w:tc>
          <w:tcPr>
            <w:tcW w:w="2310" w:type="dxa"/>
            <w:vAlign w:val="center"/>
          </w:tcPr>
          <w:p w:rsidR="00E62266" w:rsidRPr="00BD6815" w:rsidRDefault="00E62266" w:rsidP="00BC5581">
            <w:pPr>
              <w:autoSpaceDE w:val="0"/>
              <w:autoSpaceDN w:val="0"/>
              <w:adjustRightInd w:val="0"/>
              <w:jc w:val="center"/>
              <w:rPr>
                <w:rFonts w:ascii="Times New Roman" w:hAnsi="Times New Roman"/>
                <w:sz w:val="24"/>
                <w:lang w:eastAsia="ru-RU"/>
              </w:rPr>
            </w:pPr>
            <w:r w:rsidRPr="00BD6815">
              <w:rPr>
                <w:rFonts w:ascii="Times New Roman" w:hAnsi="Times New Roman"/>
                <w:sz w:val="24"/>
                <w:lang w:eastAsia="ru-RU"/>
              </w:rPr>
              <w:t>50</w:t>
            </w:r>
            <w:r w:rsidR="00BC5581" w:rsidRPr="00BD6815">
              <w:rPr>
                <w:rFonts w:ascii="Times New Roman" w:hAnsi="Times New Roman"/>
                <w:sz w:val="24"/>
                <w:lang w:eastAsia="ru-RU"/>
              </w:rPr>
              <w:t>,</w:t>
            </w:r>
            <w:r w:rsidRPr="00BD6815">
              <w:rPr>
                <w:rFonts w:ascii="Times New Roman" w:hAnsi="Times New Roman"/>
                <w:sz w:val="24"/>
                <w:lang w:eastAsia="ru-RU"/>
              </w:rPr>
              <w:t>00</w:t>
            </w:r>
            <w:r w:rsidR="002F22BE" w:rsidRPr="00BD6815">
              <w:rPr>
                <w:rFonts w:ascii="Times New Roman" w:hAnsi="Times New Roman"/>
                <w:sz w:val="24"/>
                <w:lang w:eastAsia="ru-RU"/>
              </w:rPr>
              <w:t>0</w:t>
            </w:r>
          </w:p>
        </w:tc>
        <w:tc>
          <w:tcPr>
            <w:tcW w:w="2311" w:type="dxa"/>
            <w:vAlign w:val="center"/>
          </w:tcPr>
          <w:p w:rsidR="00E62266" w:rsidRPr="00BD6815" w:rsidRDefault="00BC5581" w:rsidP="00BC5581">
            <w:pPr>
              <w:autoSpaceDE w:val="0"/>
              <w:autoSpaceDN w:val="0"/>
              <w:adjustRightInd w:val="0"/>
              <w:jc w:val="center"/>
              <w:rPr>
                <w:rFonts w:ascii="Times New Roman" w:hAnsi="Times New Roman"/>
                <w:sz w:val="24"/>
                <w:lang w:eastAsia="ru-RU"/>
              </w:rPr>
            </w:pPr>
            <w:r w:rsidRPr="00BD6815">
              <w:rPr>
                <w:rFonts w:ascii="Times New Roman" w:hAnsi="Times New Roman"/>
                <w:sz w:val="24"/>
                <w:lang w:eastAsia="ru-RU"/>
              </w:rPr>
              <w:t>500,</w:t>
            </w:r>
            <w:r w:rsidR="002F22BE" w:rsidRPr="00BD6815">
              <w:rPr>
                <w:rFonts w:ascii="Times New Roman" w:hAnsi="Times New Roman"/>
                <w:sz w:val="24"/>
                <w:lang w:eastAsia="ru-RU"/>
              </w:rPr>
              <w:t>000</w:t>
            </w:r>
          </w:p>
        </w:tc>
        <w:tc>
          <w:tcPr>
            <w:tcW w:w="2311" w:type="dxa"/>
            <w:vAlign w:val="center"/>
          </w:tcPr>
          <w:p w:rsidR="00E62266" w:rsidRPr="00BD6815" w:rsidRDefault="002F22BE" w:rsidP="00BC5581">
            <w:pPr>
              <w:autoSpaceDE w:val="0"/>
              <w:autoSpaceDN w:val="0"/>
              <w:adjustRightInd w:val="0"/>
              <w:jc w:val="center"/>
              <w:rPr>
                <w:rFonts w:ascii="Times New Roman" w:hAnsi="Times New Roman"/>
                <w:sz w:val="24"/>
                <w:lang w:eastAsia="ru-RU"/>
              </w:rPr>
            </w:pPr>
            <w:r w:rsidRPr="00BD6815">
              <w:rPr>
                <w:rFonts w:ascii="Times New Roman" w:hAnsi="Times New Roman"/>
                <w:sz w:val="24"/>
                <w:lang w:eastAsia="ru-RU"/>
              </w:rPr>
              <w:t>250</w:t>
            </w:r>
            <w:r w:rsidR="00BC5581" w:rsidRPr="00BD6815">
              <w:rPr>
                <w:rFonts w:ascii="Times New Roman" w:hAnsi="Times New Roman"/>
                <w:sz w:val="24"/>
                <w:lang w:eastAsia="ru-RU"/>
              </w:rPr>
              <w:t>,</w:t>
            </w:r>
            <w:r w:rsidRPr="00BD6815">
              <w:rPr>
                <w:rFonts w:ascii="Times New Roman" w:hAnsi="Times New Roman"/>
                <w:sz w:val="24"/>
                <w:lang w:eastAsia="ru-RU"/>
              </w:rPr>
              <w:t>000</w:t>
            </w:r>
          </w:p>
        </w:tc>
      </w:tr>
      <w:tr w:rsidR="00E62266" w:rsidRPr="00BD6815" w:rsidTr="00BC5581">
        <w:tc>
          <w:tcPr>
            <w:tcW w:w="2310" w:type="dxa"/>
          </w:tcPr>
          <w:p w:rsidR="00E62266" w:rsidRPr="00BD6815" w:rsidRDefault="00E62266" w:rsidP="00BC6875">
            <w:pPr>
              <w:autoSpaceDE w:val="0"/>
              <w:autoSpaceDN w:val="0"/>
              <w:adjustRightInd w:val="0"/>
              <w:jc w:val="both"/>
              <w:rPr>
                <w:rFonts w:ascii="Times New Roman" w:hAnsi="Times New Roman"/>
                <w:sz w:val="24"/>
                <w:lang w:eastAsia="ru-RU"/>
              </w:rPr>
            </w:pPr>
            <w:r w:rsidRPr="00BD6815">
              <w:rPr>
                <w:rFonts w:ascii="Times New Roman" w:hAnsi="Times New Roman"/>
                <w:sz w:val="24"/>
                <w:lang w:eastAsia="ru-RU"/>
              </w:rPr>
              <w:t>Citizen</w:t>
            </w:r>
            <w:r w:rsidR="00EA208B" w:rsidRPr="00BD6815">
              <w:rPr>
                <w:rFonts w:ascii="Times New Roman" w:hAnsi="Times New Roman"/>
                <w:sz w:val="24"/>
                <w:lang w:eastAsia="ru-RU"/>
              </w:rPr>
              <w:t>s'</w:t>
            </w:r>
            <w:r w:rsidRPr="00BD6815">
              <w:rPr>
                <w:rFonts w:ascii="Times New Roman" w:hAnsi="Times New Roman"/>
                <w:sz w:val="24"/>
                <w:lang w:eastAsia="ru-RU"/>
              </w:rPr>
              <w:t xml:space="preserve"> donation</w:t>
            </w:r>
            <w:r w:rsidR="00BC5581" w:rsidRPr="00BD6815">
              <w:rPr>
                <w:rFonts w:ascii="Times New Roman" w:hAnsi="Times New Roman"/>
                <w:sz w:val="24"/>
                <w:lang w:eastAsia="ru-RU"/>
              </w:rPr>
              <w:t xml:space="preserve"> (per person)</w:t>
            </w:r>
          </w:p>
        </w:tc>
        <w:tc>
          <w:tcPr>
            <w:tcW w:w="2310" w:type="dxa"/>
            <w:vAlign w:val="center"/>
          </w:tcPr>
          <w:p w:rsidR="00E62266" w:rsidRPr="00BD6815" w:rsidRDefault="00E62266" w:rsidP="00BC5581">
            <w:pPr>
              <w:autoSpaceDE w:val="0"/>
              <w:autoSpaceDN w:val="0"/>
              <w:adjustRightInd w:val="0"/>
              <w:jc w:val="center"/>
              <w:rPr>
                <w:rFonts w:ascii="Times New Roman" w:hAnsi="Times New Roman"/>
                <w:sz w:val="24"/>
                <w:lang w:eastAsia="ru-RU"/>
              </w:rPr>
            </w:pPr>
            <w:r w:rsidRPr="00BD6815">
              <w:rPr>
                <w:rFonts w:ascii="Times New Roman" w:hAnsi="Times New Roman"/>
                <w:sz w:val="24"/>
                <w:lang w:eastAsia="ru-RU"/>
              </w:rPr>
              <w:t>1</w:t>
            </w:r>
            <w:r w:rsidR="00BC5581" w:rsidRPr="00BD6815">
              <w:rPr>
                <w:rFonts w:ascii="Times New Roman" w:hAnsi="Times New Roman"/>
                <w:sz w:val="24"/>
                <w:lang w:eastAsia="ru-RU"/>
              </w:rPr>
              <w:t>,</w:t>
            </w:r>
            <w:r w:rsidRPr="00BD6815">
              <w:rPr>
                <w:rFonts w:ascii="Times New Roman" w:hAnsi="Times New Roman"/>
                <w:sz w:val="24"/>
                <w:lang w:eastAsia="ru-RU"/>
              </w:rPr>
              <w:t>000</w:t>
            </w:r>
          </w:p>
        </w:tc>
        <w:tc>
          <w:tcPr>
            <w:tcW w:w="2311" w:type="dxa"/>
            <w:vAlign w:val="center"/>
          </w:tcPr>
          <w:p w:rsidR="00E62266" w:rsidRPr="00BD6815" w:rsidRDefault="002F22BE" w:rsidP="00BC5581">
            <w:pPr>
              <w:autoSpaceDE w:val="0"/>
              <w:autoSpaceDN w:val="0"/>
              <w:adjustRightInd w:val="0"/>
              <w:jc w:val="center"/>
              <w:rPr>
                <w:rFonts w:ascii="Times New Roman" w:hAnsi="Times New Roman"/>
                <w:sz w:val="24"/>
                <w:lang w:eastAsia="ru-RU"/>
              </w:rPr>
            </w:pPr>
            <w:r w:rsidRPr="00BD6815">
              <w:rPr>
                <w:rFonts w:ascii="Times New Roman" w:hAnsi="Times New Roman"/>
                <w:sz w:val="24"/>
                <w:lang w:eastAsia="ru-RU"/>
              </w:rPr>
              <w:t>3</w:t>
            </w:r>
            <w:r w:rsidR="00BC5581" w:rsidRPr="00BD6815">
              <w:rPr>
                <w:rFonts w:ascii="Times New Roman" w:hAnsi="Times New Roman"/>
                <w:sz w:val="24"/>
                <w:lang w:eastAsia="ru-RU"/>
              </w:rPr>
              <w:t>,</w:t>
            </w:r>
            <w:r w:rsidRPr="00BD6815">
              <w:rPr>
                <w:rFonts w:ascii="Times New Roman" w:hAnsi="Times New Roman"/>
                <w:sz w:val="24"/>
                <w:lang w:eastAsia="ru-RU"/>
              </w:rPr>
              <w:t>000</w:t>
            </w:r>
          </w:p>
        </w:tc>
        <w:tc>
          <w:tcPr>
            <w:tcW w:w="2311" w:type="dxa"/>
            <w:vAlign w:val="center"/>
          </w:tcPr>
          <w:p w:rsidR="00E62266" w:rsidRPr="00BD6815" w:rsidRDefault="002F22BE" w:rsidP="00BC5581">
            <w:pPr>
              <w:autoSpaceDE w:val="0"/>
              <w:autoSpaceDN w:val="0"/>
              <w:adjustRightInd w:val="0"/>
              <w:jc w:val="center"/>
              <w:rPr>
                <w:rFonts w:ascii="Times New Roman" w:hAnsi="Times New Roman"/>
                <w:sz w:val="24"/>
                <w:lang w:eastAsia="ru-RU"/>
              </w:rPr>
            </w:pPr>
            <w:r w:rsidRPr="00BD6815">
              <w:rPr>
                <w:rFonts w:ascii="Times New Roman" w:hAnsi="Times New Roman"/>
                <w:sz w:val="24"/>
                <w:lang w:eastAsia="ru-RU"/>
              </w:rPr>
              <w:t>3</w:t>
            </w:r>
            <w:r w:rsidR="00BC5581" w:rsidRPr="00BD6815">
              <w:rPr>
                <w:rFonts w:ascii="Times New Roman" w:hAnsi="Times New Roman"/>
                <w:sz w:val="24"/>
                <w:lang w:eastAsia="ru-RU"/>
              </w:rPr>
              <w:t>,</w:t>
            </w:r>
            <w:r w:rsidRPr="00BD6815">
              <w:rPr>
                <w:rFonts w:ascii="Times New Roman" w:hAnsi="Times New Roman"/>
                <w:sz w:val="24"/>
                <w:lang w:eastAsia="ru-RU"/>
              </w:rPr>
              <w:t>000</w:t>
            </w:r>
          </w:p>
        </w:tc>
      </w:tr>
      <w:tr w:rsidR="00E62266" w:rsidRPr="00BD6815" w:rsidTr="00BC5581">
        <w:tc>
          <w:tcPr>
            <w:tcW w:w="2310" w:type="dxa"/>
          </w:tcPr>
          <w:p w:rsidR="00E62266" w:rsidRPr="00BD6815" w:rsidRDefault="00E62266" w:rsidP="00BC5581">
            <w:pPr>
              <w:autoSpaceDE w:val="0"/>
              <w:autoSpaceDN w:val="0"/>
              <w:adjustRightInd w:val="0"/>
              <w:jc w:val="both"/>
              <w:rPr>
                <w:rFonts w:ascii="Times New Roman" w:hAnsi="Times New Roman"/>
                <w:sz w:val="24"/>
                <w:lang w:eastAsia="ru-RU"/>
              </w:rPr>
            </w:pPr>
            <w:r w:rsidRPr="00BD6815">
              <w:rPr>
                <w:rFonts w:ascii="Times New Roman" w:hAnsi="Times New Roman"/>
                <w:sz w:val="24"/>
                <w:lang w:eastAsia="ru-RU"/>
              </w:rPr>
              <w:t xml:space="preserve">Legal </w:t>
            </w:r>
            <w:r w:rsidR="00BC5581" w:rsidRPr="00BD6815">
              <w:rPr>
                <w:rFonts w:ascii="Times New Roman" w:hAnsi="Times New Roman"/>
                <w:sz w:val="24"/>
                <w:lang w:eastAsia="ru-RU"/>
              </w:rPr>
              <w:t>entity's</w:t>
            </w:r>
            <w:r w:rsidRPr="00BD6815">
              <w:rPr>
                <w:rFonts w:ascii="Times New Roman" w:hAnsi="Times New Roman"/>
                <w:sz w:val="24"/>
                <w:lang w:eastAsia="ru-RU"/>
              </w:rPr>
              <w:t xml:space="preserve"> donation </w:t>
            </w:r>
            <w:r w:rsidR="00BC5581" w:rsidRPr="00BD6815">
              <w:rPr>
                <w:rFonts w:ascii="Times New Roman" w:hAnsi="Times New Roman"/>
                <w:sz w:val="24"/>
                <w:lang w:eastAsia="ru-RU"/>
              </w:rPr>
              <w:t>(per entity)</w:t>
            </w:r>
          </w:p>
        </w:tc>
        <w:tc>
          <w:tcPr>
            <w:tcW w:w="2310" w:type="dxa"/>
            <w:vAlign w:val="center"/>
          </w:tcPr>
          <w:p w:rsidR="00E62266" w:rsidRPr="00BD6815" w:rsidRDefault="00E62266" w:rsidP="00BC5581">
            <w:pPr>
              <w:autoSpaceDE w:val="0"/>
              <w:autoSpaceDN w:val="0"/>
              <w:adjustRightInd w:val="0"/>
              <w:jc w:val="center"/>
              <w:rPr>
                <w:rFonts w:ascii="Times New Roman" w:hAnsi="Times New Roman"/>
                <w:sz w:val="24"/>
                <w:lang w:eastAsia="ru-RU"/>
              </w:rPr>
            </w:pPr>
            <w:r w:rsidRPr="00BD6815">
              <w:rPr>
                <w:rFonts w:ascii="Times New Roman" w:hAnsi="Times New Roman"/>
                <w:sz w:val="24"/>
                <w:lang w:eastAsia="ru-RU"/>
              </w:rPr>
              <w:t>10</w:t>
            </w:r>
            <w:r w:rsidR="00BC5581" w:rsidRPr="00BD6815">
              <w:rPr>
                <w:rFonts w:ascii="Times New Roman" w:hAnsi="Times New Roman"/>
                <w:sz w:val="24"/>
                <w:lang w:eastAsia="ru-RU"/>
              </w:rPr>
              <w:t>,</w:t>
            </w:r>
            <w:r w:rsidRPr="00BD6815">
              <w:rPr>
                <w:rFonts w:ascii="Times New Roman" w:hAnsi="Times New Roman"/>
                <w:sz w:val="24"/>
                <w:lang w:eastAsia="ru-RU"/>
              </w:rPr>
              <w:t>000</w:t>
            </w:r>
          </w:p>
        </w:tc>
        <w:tc>
          <w:tcPr>
            <w:tcW w:w="2311" w:type="dxa"/>
            <w:vAlign w:val="center"/>
          </w:tcPr>
          <w:p w:rsidR="00E62266" w:rsidRPr="00BD6815" w:rsidRDefault="002F22BE" w:rsidP="00BC5581">
            <w:pPr>
              <w:autoSpaceDE w:val="0"/>
              <w:autoSpaceDN w:val="0"/>
              <w:adjustRightInd w:val="0"/>
              <w:jc w:val="center"/>
              <w:rPr>
                <w:rFonts w:ascii="Times New Roman" w:hAnsi="Times New Roman"/>
                <w:sz w:val="24"/>
                <w:lang w:eastAsia="ru-RU"/>
              </w:rPr>
            </w:pPr>
            <w:r w:rsidRPr="00BD6815">
              <w:rPr>
                <w:rFonts w:ascii="Times New Roman" w:hAnsi="Times New Roman"/>
                <w:sz w:val="24"/>
                <w:lang w:eastAsia="ru-RU"/>
              </w:rPr>
              <w:t>50</w:t>
            </w:r>
            <w:r w:rsidR="00BC5581" w:rsidRPr="00BD6815">
              <w:rPr>
                <w:rFonts w:ascii="Times New Roman" w:hAnsi="Times New Roman"/>
                <w:sz w:val="24"/>
                <w:lang w:eastAsia="ru-RU"/>
              </w:rPr>
              <w:t>,</w:t>
            </w:r>
            <w:r w:rsidRPr="00BD6815">
              <w:rPr>
                <w:rFonts w:ascii="Times New Roman" w:hAnsi="Times New Roman"/>
                <w:sz w:val="24"/>
                <w:lang w:eastAsia="ru-RU"/>
              </w:rPr>
              <w:t>000</w:t>
            </w:r>
          </w:p>
        </w:tc>
        <w:tc>
          <w:tcPr>
            <w:tcW w:w="2311" w:type="dxa"/>
            <w:vAlign w:val="center"/>
          </w:tcPr>
          <w:p w:rsidR="00E62266" w:rsidRPr="00BD6815" w:rsidRDefault="002F22BE" w:rsidP="00BC5581">
            <w:pPr>
              <w:autoSpaceDE w:val="0"/>
              <w:autoSpaceDN w:val="0"/>
              <w:adjustRightInd w:val="0"/>
              <w:jc w:val="center"/>
              <w:rPr>
                <w:rFonts w:ascii="Times New Roman" w:hAnsi="Times New Roman"/>
                <w:sz w:val="24"/>
                <w:lang w:eastAsia="ru-RU"/>
              </w:rPr>
            </w:pPr>
            <w:r w:rsidRPr="00BD6815">
              <w:rPr>
                <w:rFonts w:ascii="Times New Roman" w:hAnsi="Times New Roman"/>
                <w:sz w:val="24"/>
                <w:lang w:eastAsia="ru-RU"/>
              </w:rPr>
              <w:t>50</w:t>
            </w:r>
            <w:r w:rsidR="00BC5581" w:rsidRPr="00BD6815">
              <w:rPr>
                <w:rFonts w:ascii="Times New Roman" w:hAnsi="Times New Roman"/>
                <w:sz w:val="24"/>
                <w:lang w:eastAsia="ru-RU"/>
              </w:rPr>
              <w:t>,</w:t>
            </w:r>
            <w:r w:rsidRPr="00BD6815">
              <w:rPr>
                <w:rFonts w:ascii="Times New Roman" w:hAnsi="Times New Roman"/>
                <w:sz w:val="24"/>
                <w:lang w:eastAsia="ru-RU"/>
              </w:rPr>
              <w:t>000</w:t>
            </w:r>
          </w:p>
        </w:tc>
      </w:tr>
      <w:tr w:rsidR="00E62266" w:rsidRPr="00BD6815" w:rsidTr="00BC5581">
        <w:tc>
          <w:tcPr>
            <w:tcW w:w="2310" w:type="dxa"/>
          </w:tcPr>
          <w:p w:rsidR="00E62266" w:rsidRPr="00BD6815" w:rsidRDefault="002F22BE" w:rsidP="00BC6875">
            <w:pPr>
              <w:autoSpaceDE w:val="0"/>
              <w:autoSpaceDN w:val="0"/>
              <w:adjustRightInd w:val="0"/>
              <w:jc w:val="both"/>
              <w:rPr>
                <w:rFonts w:ascii="Times New Roman" w:hAnsi="Times New Roman"/>
                <w:sz w:val="24"/>
                <w:lang w:eastAsia="ru-RU"/>
              </w:rPr>
            </w:pPr>
            <w:r w:rsidRPr="00BD6815">
              <w:rPr>
                <w:rFonts w:ascii="Times New Roman" w:hAnsi="Times New Roman"/>
                <w:sz w:val="24"/>
                <w:lang w:eastAsia="ru-RU"/>
              </w:rPr>
              <w:t>Maximum amount of election</w:t>
            </w:r>
            <w:r w:rsidR="00E62266" w:rsidRPr="00BD6815">
              <w:rPr>
                <w:rFonts w:ascii="Times New Roman" w:hAnsi="Times New Roman"/>
                <w:sz w:val="24"/>
                <w:lang w:eastAsia="ru-RU"/>
              </w:rPr>
              <w:t xml:space="preserve"> fund</w:t>
            </w:r>
          </w:p>
        </w:tc>
        <w:tc>
          <w:tcPr>
            <w:tcW w:w="2310" w:type="dxa"/>
            <w:vAlign w:val="center"/>
          </w:tcPr>
          <w:p w:rsidR="00E62266" w:rsidRPr="00BD6815" w:rsidRDefault="00E62266" w:rsidP="00BC5581">
            <w:pPr>
              <w:autoSpaceDE w:val="0"/>
              <w:autoSpaceDN w:val="0"/>
              <w:adjustRightInd w:val="0"/>
              <w:jc w:val="center"/>
              <w:rPr>
                <w:rFonts w:ascii="Times New Roman" w:hAnsi="Times New Roman"/>
                <w:sz w:val="24"/>
                <w:lang w:eastAsia="ru-RU"/>
              </w:rPr>
            </w:pPr>
            <w:r w:rsidRPr="00BD6815">
              <w:rPr>
                <w:rFonts w:ascii="Times New Roman" w:hAnsi="Times New Roman"/>
                <w:sz w:val="24"/>
                <w:lang w:eastAsia="ru-RU"/>
              </w:rPr>
              <w:t>50</w:t>
            </w:r>
            <w:r w:rsidR="00BC5581" w:rsidRPr="00BD6815">
              <w:rPr>
                <w:rFonts w:ascii="Times New Roman" w:hAnsi="Times New Roman"/>
                <w:sz w:val="24"/>
                <w:lang w:eastAsia="ru-RU"/>
              </w:rPr>
              <w:t>,</w:t>
            </w:r>
            <w:r w:rsidRPr="00BD6815">
              <w:rPr>
                <w:rFonts w:ascii="Times New Roman" w:hAnsi="Times New Roman"/>
                <w:sz w:val="24"/>
                <w:lang w:eastAsia="ru-RU"/>
              </w:rPr>
              <w:t>000</w:t>
            </w:r>
          </w:p>
        </w:tc>
        <w:tc>
          <w:tcPr>
            <w:tcW w:w="2311" w:type="dxa"/>
            <w:vAlign w:val="center"/>
          </w:tcPr>
          <w:p w:rsidR="00E62266" w:rsidRPr="00BD6815" w:rsidRDefault="00BC5581" w:rsidP="00BC5581">
            <w:pPr>
              <w:autoSpaceDE w:val="0"/>
              <w:autoSpaceDN w:val="0"/>
              <w:adjustRightInd w:val="0"/>
              <w:jc w:val="center"/>
              <w:rPr>
                <w:rFonts w:ascii="Times New Roman" w:hAnsi="Times New Roman"/>
                <w:sz w:val="24"/>
                <w:lang w:eastAsia="ru-RU"/>
              </w:rPr>
            </w:pPr>
            <w:r w:rsidRPr="00BD6815">
              <w:rPr>
                <w:rFonts w:ascii="Times New Roman" w:hAnsi="Times New Roman"/>
                <w:sz w:val="24"/>
                <w:lang w:eastAsia="ru-RU"/>
              </w:rPr>
              <w:t>500,</w:t>
            </w:r>
            <w:r w:rsidR="002F22BE" w:rsidRPr="00BD6815">
              <w:rPr>
                <w:rFonts w:ascii="Times New Roman" w:hAnsi="Times New Roman"/>
                <w:sz w:val="24"/>
                <w:lang w:eastAsia="ru-RU"/>
              </w:rPr>
              <w:t>000</w:t>
            </w:r>
          </w:p>
        </w:tc>
        <w:tc>
          <w:tcPr>
            <w:tcW w:w="2311" w:type="dxa"/>
            <w:vAlign w:val="center"/>
          </w:tcPr>
          <w:p w:rsidR="00E62266" w:rsidRPr="00BD6815" w:rsidRDefault="00BC5581" w:rsidP="00BC5581">
            <w:pPr>
              <w:autoSpaceDE w:val="0"/>
              <w:autoSpaceDN w:val="0"/>
              <w:adjustRightInd w:val="0"/>
              <w:jc w:val="center"/>
              <w:rPr>
                <w:rFonts w:ascii="Times New Roman" w:hAnsi="Times New Roman"/>
                <w:sz w:val="24"/>
                <w:lang w:eastAsia="ru-RU"/>
              </w:rPr>
            </w:pPr>
            <w:r w:rsidRPr="00BD6815">
              <w:rPr>
                <w:rFonts w:ascii="Times New Roman" w:hAnsi="Times New Roman"/>
                <w:sz w:val="24"/>
                <w:lang w:eastAsia="ru-RU"/>
              </w:rPr>
              <w:t>10,000,</w:t>
            </w:r>
            <w:r w:rsidR="002F22BE" w:rsidRPr="00BD6815">
              <w:rPr>
                <w:rFonts w:ascii="Times New Roman" w:hAnsi="Times New Roman"/>
                <w:sz w:val="24"/>
                <w:lang w:eastAsia="ru-RU"/>
              </w:rPr>
              <w:t>000</w:t>
            </w:r>
          </w:p>
        </w:tc>
      </w:tr>
    </w:tbl>
    <w:p w:rsidR="00BC5581" w:rsidRPr="00BD6815" w:rsidRDefault="00BC5581" w:rsidP="00BC5581">
      <w:pPr>
        <w:autoSpaceDE w:val="0"/>
        <w:autoSpaceDN w:val="0"/>
        <w:adjustRightInd w:val="0"/>
        <w:spacing w:before="60" w:after="60" w:line="240" w:lineRule="auto"/>
        <w:jc w:val="both"/>
        <w:rPr>
          <w:rFonts w:ascii="Times New Roman" w:hAnsi="Times New Roman"/>
          <w:sz w:val="24"/>
          <w:lang w:eastAsia="ru-RU"/>
        </w:rPr>
      </w:pPr>
    </w:p>
    <w:p w:rsidR="00EA208B" w:rsidRPr="00BD6815" w:rsidRDefault="00EA208B" w:rsidP="00BC5581">
      <w:pPr>
        <w:autoSpaceDE w:val="0"/>
        <w:autoSpaceDN w:val="0"/>
        <w:adjustRightInd w:val="0"/>
        <w:spacing w:before="60" w:after="60" w:line="240" w:lineRule="auto"/>
        <w:jc w:val="both"/>
        <w:rPr>
          <w:rFonts w:ascii="Times New Roman" w:hAnsi="Times New Roman"/>
          <w:sz w:val="24"/>
          <w:lang w:eastAsia="ru-RU"/>
        </w:rPr>
      </w:pPr>
      <w:r w:rsidRPr="00BD6815">
        <w:rPr>
          <w:rFonts w:ascii="Times New Roman" w:hAnsi="Times New Roman"/>
          <w:sz w:val="24"/>
          <w:lang w:eastAsia="ru-RU"/>
        </w:rPr>
        <w:t>The Election Code prohibits donations from following sources:</w:t>
      </w:r>
    </w:p>
    <w:p w:rsidR="00C00655" w:rsidRPr="00BD6815" w:rsidRDefault="00C00655" w:rsidP="00BC5581">
      <w:pPr>
        <w:numPr>
          <w:ilvl w:val="0"/>
          <w:numId w:val="6"/>
        </w:numPr>
        <w:autoSpaceDE w:val="0"/>
        <w:autoSpaceDN w:val="0"/>
        <w:adjustRightInd w:val="0"/>
        <w:spacing w:before="60" w:after="60" w:line="240" w:lineRule="auto"/>
        <w:ind w:left="993"/>
        <w:jc w:val="both"/>
        <w:rPr>
          <w:rFonts w:ascii="Times New Roman" w:hAnsi="Times New Roman"/>
          <w:sz w:val="24"/>
          <w:lang w:eastAsia="ru-RU"/>
        </w:rPr>
      </w:pPr>
      <w:r w:rsidRPr="00BD6815">
        <w:rPr>
          <w:rFonts w:ascii="Times New Roman" w:hAnsi="Times New Roman"/>
          <w:sz w:val="24"/>
          <w:lang w:eastAsia="ru-RU"/>
        </w:rPr>
        <w:t xml:space="preserve">foreign countries and foreign legal entities, foreign citizens, stateless persons; </w:t>
      </w:r>
    </w:p>
    <w:p w:rsidR="00C00655" w:rsidRPr="00BD6815" w:rsidRDefault="00C00655" w:rsidP="00BC5581">
      <w:pPr>
        <w:numPr>
          <w:ilvl w:val="0"/>
          <w:numId w:val="6"/>
        </w:numPr>
        <w:autoSpaceDE w:val="0"/>
        <w:autoSpaceDN w:val="0"/>
        <w:adjustRightInd w:val="0"/>
        <w:spacing w:before="60" w:after="60" w:line="240" w:lineRule="auto"/>
        <w:ind w:left="993"/>
        <w:jc w:val="both"/>
        <w:rPr>
          <w:rFonts w:ascii="Times New Roman" w:hAnsi="Times New Roman"/>
          <w:sz w:val="24"/>
          <w:lang w:eastAsia="ru-RU"/>
        </w:rPr>
      </w:pPr>
      <w:r w:rsidRPr="00BD6815">
        <w:rPr>
          <w:rFonts w:ascii="Times New Roman" w:hAnsi="Times New Roman"/>
          <w:sz w:val="24"/>
          <w:lang w:eastAsia="ru-RU"/>
        </w:rPr>
        <w:t>citizens under the age of 18;</w:t>
      </w:r>
    </w:p>
    <w:p w:rsidR="00C00655" w:rsidRPr="00BD6815" w:rsidRDefault="00C00655" w:rsidP="00BC5581">
      <w:pPr>
        <w:numPr>
          <w:ilvl w:val="0"/>
          <w:numId w:val="6"/>
        </w:numPr>
        <w:autoSpaceDE w:val="0"/>
        <w:autoSpaceDN w:val="0"/>
        <w:adjustRightInd w:val="0"/>
        <w:spacing w:before="60" w:after="60" w:line="240" w:lineRule="auto"/>
        <w:ind w:left="993"/>
        <w:jc w:val="both"/>
        <w:rPr>
          <w:rFonts w:ascii="Times New Roman" w:hAnsi="Times New Roman"/>
          <w:sz w:val="24"/>
          <w:lang w:eastAsia="ru-RU"/>
        </w:rPr>
      </w:pPr>
      <w:r w:rsidRPr="00BD6815">
        <w:rPr>
          <w:rFonts w:ascii="Times New Roman" w:hAnsi="Times New Roman"/>
          <w:sz w:val="24"/>
          <w:lang w:eastAsia="ru-RU"/>
        </w:rPr>
        <w:t xml:space="preserve">international organizations and international social movements; </w:t>
      </w:r>
    </w:p>
    <w:p w:rsidR="00C00655" w:rsidRPr="00BD6815" w:rsidRDefault="00C00655" w:rsidP="00BC5581">
      <w:pPr>
        <w:numPr>
          <w:ilvl w:val="0"/>
          <w:numId w:val="6"/>
        </w:numPr>
        <w:autoSpaceDE w:val="0"/>
        <w:autoSpaceDN w:val="0"/>
        <w:adjustRightInd w:val="0"/>
        <w:spacing w:before="60" w:after="60" w:line="240" w:lineRule="auto"/>
        <w:ind w:left="993"/>
        <w:jc w:val="both"/>
        <w:rPr>
          <w:rFonts w:ascii="Times New Roman" w:hAnsi="Times New Roman"/>
          <w:sz w:val="24"/>
          <w:lang w:eastAsia="ru-RU"/>
        </w:rPr>
      </w:pPr>
      <w:r w:rsidRPr="00BD6815">
        <w:rPr>
          <w:rFonts w:ascii="Times New Roman" w:hAnsi="Times New Roman"/>
          <w:sz w:val="24"/>
          <w:lang w:eastAsia="ru-RU"/>
        </w:rPr>
        <w:t>state bodies and municipalities, state and municipal organizations and offices;</w:t>
      </w:r>
    </w:p>
    <w:p w:rsidR="00C00655" w:rsidRPr="00BD6815" w:rsidRDefault="00C00655" w:rsidP="00BC5581">
      <w:pPr>
        <w:numPr>
          <w:ilvl w:val="0"/>
          <w:numId w:val="6"/>
        </w:numPr>
        <w:autoSpaceDE w:val="0"/>
        <w:autoSpaceDN w:val="0"/>
        <w:adjustRightInd w:val="0"/>
        <w:spacing w:before="60" w:after="60" w:line="240" w:lineRule="auto"/>
        <w:ind w:left="993"/>
        <w:jc w:val="both"/>
        <w:rPr>
          <w:rFonts w:ascii="Times New Roman" w:hAnsi="Times New Roman"/>
          <w:sz w:val="24"/>
          <w:lang w:eastAsia="ru-RU"/>
        </w:rPr>
      </w:pPr>
      <w:r w:rsidRPr="00BD6815">
        <w:rPr>
          <w:rFonts w:ascii="Times New Roman" w:hAnsi="Times New Roman"/>
          <w:sz w:val="24"/>
          <w:lang w:eastAsia="ru-RU"/>
        </w:rPr>
        <w:t xml:space="preserve">military units; </w:t>
      </w:r>
    </w:p>
    <w:p w:rsidR="00C00655" w:rsidRPr="00BD6815" w:rsidRDefault="00C00655" w:rsidP="00BC5581">
      <w:pPr>
        <w:numPr>
          <w:ilvl w:val="0"/>
          <w:numId w:val="6"/>
        </w:numPr>
        <w:autoSpaceDE w:val="0"/>
        <w:autoSpaceDN w:val="0"/>
        <w:adjustRightInd w:val="0"/>
        <w:spacing w:before="60" w:after="60" w:line="240" w:lineRule="auto"/>
        <w:ind w:left="993"/>
        <w:jc w:val="both"/>
        <w:rPr>
          <w:rFonts w:ascii="Times New Roman" w:hAnsi="Times New Roman"/>
          <w:sz w:val="24"/>
          <w:lang w:eastAsia="ru-RU"/>
        </w:rPr>
      </w:pPr>
      <w:r w:rsidRPr="00BD6815">
        <w:rPr>
          <w:rFonts w:ascii="Times New Roman" w:hAnsi="Times New Roman"/>
          <w:sz w:val="24"/>
          <w:lang w:eastAsia="ru-RU"/>
        </w:rPr>
        <w:t xml:space="preserve">charitable organizations, religious associations, institutions and organizations; </w:t>
      </w:r>
    </w:p>
    <w:p w:rsidR="00EA208B" w:rsidRPr="00BD6815" w:rsidRDefault="00C00655" w:rsidP="00BC5581">
      <w:pPr>
        <w:numPr>
          <w:ilvl w:val="0"/>
          <w:numId w:val="6"/>
        </w:numPr>
        <w:autoSpaceDE w:val="0"/>
        <w:autoSpaceDN w:val="0"/>
        <w:adjustRightInd w:val="0"/>
        <w:spacing w:before="60" w:after="60" w:line="240" w:lineRule="auto"/>
        <w:ind w:left="993"/>
        <w:jc w:val="both"/>
        <w:rPr>
          <w:rFonts w:cs="Calibri"/>
          <w:lang w:eastAsia="ru-RU"/>
        </w:rPr>
      </w:pPr>
      <w:r w:rsidRPr="00BD6815">
        <w:rPr>
          <w:rFonts w:ascii="Times New Roman" w:hAnsi="Times New Roman"/>
          <w:sz w:val="24"/>
          <w:lang w:eastAsia="ru-RU"/>
        </w:rPr>
        <w:t>anonymous donors:</w:t>
      </w:r>
    </w:p>
    <w:p w:rsidR="00EA208B" w:rsidRPr="00BD6815" w:rsidRDefault="00EA208B" w:rsidP="00BB1874">
      <w:pPr>
        <w:autoSpaceDE w:val="0"/>
        <w:autoSpaceDN w:val="0"/>
        <w:adjustRightInd w:val="0"/>
        <w:spacing w:before="120" w:after="120" w:line="240" w:lineRule="auto"/>
        <w:jc w:val="both"/>
        <w:rPr>
          <w:rFonts w:ascii="Times New Roman" w:hAnsi="Times New Roman"/>
          <w:sz w:val="24"/>
          <w:lang w:eastAsia="ru-RU"/>
        </w:rPr>
      </w:pPr>
      <w:r w:rsidRPr="00BD6815">
        <w:rPr>
          <w:rFonts w:ascii="Times New Roman" w:hAnsi="Times New Roman"/>
          <w:sz w:val="24"/>
          <w:lang w:eastAsia="ru-RU"/>
        </w:rPr>
        <w:t xml:space="preserve">A legal entity with more than 30% </w:t>
      </w:r>
      <w:proofErr w:type="gramStart"/>
      <w:r w:rsidRPr="00BD6815">
        <w:rPr>
          <w:rFonts w:ascii="Times New Roman" w:hAnsi="Times New Roman"/>
          <w:sz w:val="24"/>
          <w:lang w:eastAsia="ru-RU"/>
        </w:rPr>
        <w:t>of its charter capital owned by a state or state body,</w:t>
      </w:r>
      <w:proofErr w:type="gramEnd"/>
      <w:r w:rsidRPr="00BD6815">
        <w:rPr>
          <w:rFonts w:ascii="Times New Roman" w:hAnsi="Times New Roman"/>
          <w:sz w:val="24"/>
          <w:lang w:eastAsia="ru-RU"/>
        </w:rPr>
        <w:t xml:space="preserve"> or a foreign entity, foreign individual or a stateless person cannot contribute to the election campaign</w:t>
      </w:r>
      <w:r w:rsidR="001B411A" w:rsidRPr="00BD6815">
        <w:rPr>
          <w:rFonts w:ascii="Times New Roman" w:hAnsi="Times New Roman"/>
          <w:sz w:val="24"/>
          <w:lang w:eastAsia="ru-RU"/>
        </w:rPr>
        <w:t xml:space="preserve"> either</w:t>
      </w:r>
      <w:r w:rsidRPr="00BD6815">
        <w:rPr>
          <w:rFonts w:ascii="Times New Roman" w:hAnsi="Times New Roman"/>
          <w:sz w:val="24"/>
          <w:lang w:eastAsia="ru-RU"/>
        </w:rPr>
        <w:t xml:space="preserve">. Moreover, if a legal entity is not able to show </w:t>
      </w:r>
      <w:r w:rsidR="001B411A" w:rsidRPr="00BD6815">
        <w:rPr>
          <w:rFonts w:ascii="Times New Roman" w:hAnsi="Times New Roman"/>
          <w:sz w:val="24"/>
          <w:lang w:eastAsia="ru-RU"/>
        </w:rPr>
        <w:t>amount of shares owned by state or municipality or amount of foreign shares in its charter capital, it is considered as an anonymous donor.</w:t>
      </w:r>
      <w:r w:rsidRPr="00BD6815">
        <w:rPr>
          <w:rFonts w:ascii="Times New Roman" w:hAnsi="Times New Roman"/>
          <w:sz w:val="24"/>
          <w:lang w:eastAsia="ru-RU"/>
        </w:rPr>
        <w:t xml:space="preserve"> </w:t>
      </w:r>
    </w:p>
    <w:p w:rsidR="001B411A" w:rsidRPr="00BD6815" w:rsidRDefault="00C00655" w:rsidP="00BB1874">
      <w:pPr>
        <w:autoSpaceDE w:val="0"/>
        <w:autoSpaceDN w:val="0"/>
        <w:adjustRightInd w:val="0"/>
        <w:spacing w:before="120" w:after="120" w:line="240" w:lineRule="auto"/>
        <w:jc w:val="both"/>
        <w:rPr>
          <w:rFonts w:ascii="Times New Roman" w:hAnsi="Times New Roman"/>
          <w:sz w:val="24"/>
          <w:lang w:eastAsia="ru-RU"/>
        </w:rPr>
      </w:pPr>
      <w:r w:rsidRPr="00BD6815">
        <w:rPr>
          <w:rFonts w:ascii="Times New Roman" w:hAnsi="Times New Roman"/>
          <w:sz w:val="24"/>
          <w:lang w:eastAsia="ru-RU"/>
        </w:rPr>
        <w:t>Anonymous donations must be transferred to the state budget by candidates within 10 days of receipt</w:t>
      </w:r>
      <w:r w:rsidR="001B411A" w:rsidRPr="00BD6815">
        <w:rPr>
          <w:rFonts w:ascii="Times New Roman" w:hAnsi="Times New Roman"/>
          <w:sz w:val="24"/>
          <w:lang w:eastAsia="ru-RU"/>
        </w:rPr>
        <w:t xml:space="preserve"> of such donations, while donations from groups that do not have the right to contribute to election campaign should be returned to the donor within 10 days of receipt, deducting the transfer expenses and indicating the reasons for return. If the donated amount exceeds the legally permitted limit, the part which exceeds the limit should be returned to the donor under the same conditions. </w:t>
      </w:r>
    </w:p>
    <w:p w:rsidR="00F67227" w:rsidRPr="00BD6815" w:rsidRDefault="001B411A" w:rsidP="00BB1874">
      <w:pPr>
        <w:autoSpaceDE w:val="0"/>
        <w:autoSpaceDN w:val="0"/>
        <w:adjustRightInd w:val="0"/>
        <w:spacing w:before="120" w:after="120" w:line="240" w:lineRule="auto"/>
        <w:jc w:val="both"/>
        <w:rPr>
          <w:rFonts w:ascii="Times New Roman" w:hAnsi="Times New Roman"/>
          <w:sz w:val="24"/>
          <w:lang w:eastAsia="ru-RU"/>
        </w:rPr>
      </w:pPr>
      <w:r w:rsidRPr="00BD6815">
        <w:rPr>
          <w:rFonts w:ascii="Times New Roman" w:hAnsi="Times New Roman"/>
          <w:sz w:val="24"/>
          <w:lang w:eastAsia="ru-RU"/>
        </w:rPr>
        <w:t>The legislation also stipulates restric</w:t>
      </w:r>
      <w:r w:rsidR="001629D0" w:rsidRPr="00BD6815">
        <w:rPr>
          <w:rFonts w:ascii="Times New Roman" w:hAnsi="Times New Roman"/>
          <w:sz w:val="24"/>
          <w:lang w:eastAsia="ru-RU"/>
        </w:rPr>
        <w:t xml:space="preserve">tions on in-kind contributions by </w:t>
      </w:r>
      <w:r w:rsidR="001629D0" w:rsidRPr="00BD6815">
        <w:rPr>
          <w:rFonts w:ascii="Times New Roman" w:hAnsi="Times New Roman"/>
          <w:b/>
          <w:sz w:val="24"/>
          <w:lang w:eastAsia="ru-RU"/>
        </w:rPr>
        <w:t>legal entities</w:t>
      </w:r>
      <w:r w:rsidR="001629D0" w:rsidRPr="00BD6815">
        <w:rPr>
          <w:rFonts w:ascii="Times New Roman" w:hAnsi="Times New Roman"/>
          <w:sz w:val="24"/>
          <w:lang w:eastAsia="ru-RU"/>
        </w:rPr>
        <w:t xml:space="preserve"> which are prohibited to provide </w:t>
      </w:r>
      <w:r w:rsidR="00C00655" w:rsidRPr="00BD6815">
        <w:rPr>
          <w:rFonts w:ascii="Times New Roman" w:hAnsi="Times New Roman"/>
          <w:sz w:val="24"/>
          <w:lang w:eastAsia="ru-RU"/>
        </w:rPr>
        <w:t xml:space="preserve">free of charge or below market price services to candidates. </w:t>
      </w:r>
      <w:r w:rsidR="001629D0" w:rsidRPr="00BD6815">
        <w:rPr>
          <w:rFonts w:ascii="Times New Roman" w:hAnsi="Times New Roman"/>
          <w:sz w:val="24"/>
          <w:lang w:eastAsia="ru-RU"/>
        </w:rPr>
        <w:t xml:space="preserve">This restriction does not apply to individual in-kind contributors. </w:t>
      </w:r>
    </w:p>
    <w:p w:rsidR="00A8499F" w:rsidRPr="00BD6815" w:rsidRDefault="00A8499F" w:rsidP="007746A1">
      <w:pPr>
        <w:autoSpaceDE w:val="0"/>
        <w:autoSpaceDN w:val="0"/>
        <w:adjustRightInd w:val="0"/>
        <w:spacing w:before="120" w:after="120" w:line="240" w:lineRule="auto"/>
        <w:jc w:val="both"/>
        <w:rPr>
          <w:rFonts w:ascii="Times New Roman" w:hAnsi="Times New Roman"/>
          <w:sz w:val="24"/>
          <w:lang w:eastAsia="ru-RU"/>
        </w:rPr>
      </w:pPr>
    </w:p>
    <w:p w:rsidR="00C00655" w:rsidRDefault="00691C05" w:rsidP="00BB1874">
      <w:pPr>
        <w:autoSpaceDE w:val="0"/>
        <w:autoSpaceDN w:val="0"/>
        <w:adjustRightInd w:val="0"/>
        <w:spacing w:before="120" w:after="120" w:line="240" w:lineRule="auto"/>
        <w:jc w:val="both"/>
        <w:rPr>
          <w:rFonts w:ascii="Times New Roman" w:hAnsi="Times New Roman"/>
          <w:b/>
          <w:bCs/>
          <w:i/>
          <w:sz w:val="24"/>
          <w:lang w:eastAsia="ru-RU"/>
        </w:rPr>
      </w:pPr>
      <w:r w:rsidRPr="00BD6815">
        <w:rPr>
          <w:rFonts w:ascii="Times New Roman" w:hAnsi="Times New Roman"/>
          <w:b/>
          <w:bCs/>
          <w:i/>
          <w:sz w:val="24"/>
          <w:lang w:eastAsia="ru-RU"/>
        </w:rPr>
        <w:t xml:space="preserve">Regulation of </w:t>
      </w:r>
      <w:r w:rsidR="00C00655" w:rsidRPr="00BD6815">
        <w:rPr>
          <w:rFonts w:ascii="Times New Roman" w:hAnsi="Times New Roman"/>
          <w:b/>
          <w:bCs/>
          <w:i/>
          <w:sz w:val="24"/>
          <w:lang w:eastAsia="ru-RU"/>
        </w:rPr>
        <w:t>expenditures</w:t>
      </w:r>
    </w:p>
    <w:p w:rsidR="00D2795D" w:rsidRPr="00BD6815" w:rsidRDefault="00D2795D" w:rsidP="00BB1874">
      <w:pPr>
        <w:autoSpaceDE w:val="0"/>
        <w:autoSpaceDN w:val="0"/>
        <w:adjustRightInd w:val="0"/>
        <w:spacing w:before="120" w:after="120" w:line="240" w:lineRule="auto"/>
        <w:jc w:val="both"/>
        <w:rPr>
          <w:rFonts w:ascii="Times New Roman" w:hAnsi="Times New Roman"/>
          <w:b/>
          <w:bCs/>
          <w:i/>
          <w:sz w:val="24"/>
          <w:lang w:eastAsia="ru-RU"/>
        </w:rPr>
      </w:pPr>
    </w:p>
    <w:p w:rsidR="00691C05" w:rsidRPr="00BD6815" w:rsidRDefault="00691C05"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 xml:space="preserve">Individuals can make the monetary contributions via </w:t>
      </w:r>
      <w:r w:rsidR="00C00655" w:rsidRPr="00BD6815">
        <w:rPr>
          <w:rFonts w:ascii="Times New Roman" w:hAnsi="Times New Roman"/>
          <w:sz w:val="24"/>
          <w:szCs w:val="24"/>
          <w:lang w:eastAsia="ru-RU"/>
        </w:rPr>
        <w:t xml:space="preserve">post offices </w:t>
      </w:r>
      <w:r w:rsidRPr="00BD6815">
        <w:rPr>
          <w:rFonts w:ascii="Times New Roman" w:hAnsi="Times New Roman"/>
          <w:sz w:val="24"/>
          <w:szCs w:val="24"/>
          <w:lang w:eastAsia="ru-RU"/>
        </w:rPr>
        <w:t>or</w:t>
      </w:r>
      <w:r w:rsidR="00C00655" w:rsidRPr="00BD6815">
        <w:rPr>
          <w:rFonts w:ascii="Times New Roman" w:hAnsi="Times New Roman"/>
          <w:sz w:val="24"/>
          <w:szCs w:val="24"/>
          <w:lang w:eastAsia="ru-RU"/>
        </w:rPr>
        <w:t xml:space="preserve"> bank/credit organizations,</w:t>
      </w:r>
      <w:r w:rsidRPr="00BD6815">
        <w:rPr>
          <w:rFonts w:ascii="Times New Roman" w:hAnsi="Times New Roman"/>
          <w:sz w:val="24"/>
          <w:szCs w:val="24"/>
          <w:lang w:eastAsia="ru-RU"/>
        </w:rPr>
        <w:t xml:space="preserve"> while legal entities are required to use bank transfers to election fund. </w:t>
      </w:r>
      <w:r w:rsidR="00C00655" w:rsidRPr="00BD6815">
        <w:rPr>
          <w:rFonts w:ascii="Times New Roman" w:hAnsi="Times New Roman"/>
          <w:sz w:val="24"/>
          <w:szCs w:val="24"/>
          <w:lang w:eastAsia="ru-RU"/>
        </w:rPr>
        <w:t xml:space="preserve">The requirement of bank transfers </w:t>
      </w:r>
      <w:r w:rsidRPr="00BD6815">
        <w:rPr>
          <w:rFonts w:ascii="Times New Roman" w:hAnsi="Times New Roman"/>
          <w:sz w:val="24"/>
          <w:szCs w:val="24"/>
          <w:lang w:eastAsia="ru-RU"/>
        </w:rPr>
        <w:t>is aimed at</w:t>
      </w:r>
      <w:r w:rsidR="00C00655" w:rsidRPr="00BD6815">
        <w:rPr>
          <w:rFonts w:ascii="Times New Roman" w:hAnsi="Times New Roman"/>
          <w:sz w:val="24"/>
          <w:szCs w:val="24"/>
          <w:lang w:eastAsia="ru-RU"/>
        </w:rPr>
        <w:t xml:space="preserve"> increas</w:t>
      </w:r>
      <w:r w:rsidRPr="00BD6815">
        <w:rPr>
          <w:rFonts w:ascii="Times New Roman" w:hAnsi="Times New Roman"/>
          <w:sz w:val="24"/>
          <w:szCs w:val="24"/>
          <w:lang w:eastAsia="ru-RU"/>
        </w:rPr>
        <w:t>ing</w:t>
      </w:r>
      <w:r w:rsidR="00C00655" w:rsidRPr="00BD6815">
        <w:rPr>
          <w:rFonts w:ascii="Times New Roman" w:hAnsi="Times New Roman"/>
          <w:sz w:val="24"/>
          <w:szCs w:val="24"/>
          <w:lang w:eastAsia="ru-RU"/>
        </w:rPr>
        <w:t xml:space="preserve"> transparency and provid</w:t>
      </w:r>
      <w:r w:rsidRPr="00BD6815">
        <w:rPr>
          <w:rFonts w:ascii="Times New Roman" w:hAnsi="Times New Roman"/>
          <w:sz w:val="24"/>
          <w:szCs w:val="24"/>
          <w:lang w:eastAsia="ru-RU"/>
        </w:rPr>
        <w:t>ing</w:t>
      </w:r>
      <w:r w:rsidR="00C00655" w:rsidRPr="00BD6815">
        <w:rPr>
          <w:rFonts w:ascii="Times New Roman" w:hAnsi="Times New Roman"/>
          <w:sz w:val="24"/>
          <w:szCs w:val="24"/>
          <w:lang w:eastAsia="ru-RU"/>
        </w:rPr>
        <w:t xml:space="preserve"> opportunity for </w:t>
      </w:r>
      <w:r w:rsidRPr="00BD6815">
        <w:rPr>
          <w:rFonts w:ascii="Times New Roman" w:hAnsi="Times New Roman"/>
          <w:sz w:val="24"/>
          <w:szCs w:val="24"/>
          <w:lang w:eastAsia="ru-RU"/>
        </w:rPr>
        <w:t xml:space="preserve">the </w:t>
      </w:r>
      <w:r w:rsidR="00C00655" w:rsidRPr="00BD6815">
        <w:rPr>
          <w:rFonts w:ascii="Times New Roman" w:hAnsi="Times New Roman"/>
          <w:sz w:val="24"/>
          <w:szCs w:val="24"/>
          <w:lang w:eastAsia="ru-RU"/>
        </w:rPr>
        <w:t>regulat</w:t>
      </w:r>
      <w:r w:rsidRPr="00BD6815">
        <w:rPr>
          <w:rFonts w:ascii="Times New Roman" w:hAnsi="Times New Roman"/>
          <w:sz w:val="24"/>
          <w:szCs w:val="24"/>
          <w:lang w:eastAsia="ru-RU"/>
        </w:rPr>
        <w:t>or to monitor the election funds</w:t>
      </w:r>
      <w:r w:rsidR="00C00655" w:rsidRPr="00BD6815">
        <w:rPr>
          <w:rFonts w:ascii="Times New Roman" w:hAnsi="Times New Roman"/>
          <w:sz w:val="24"/>
          <w:szCs w:val="24"/>
          <w:lang w:eastAsia="ru-RU"/>
        </w:rPr>
        <w:t>.</w:t>
      </w:r>
    </w:p>
    <w:p w:rsidR="00691C05" w:rsidRPr="00BD6815" w:rsidRDefault="00691C05"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All unspent donations remaining in election funds should be returned to contributor</w:t>
      </w:r>
      <w:r w:rsidR="00F67227" w:rsidRPr="00BD6815">
        <w:rPr>
          <w:rFonts w:ascii="Times New Roman" w:hAnsi="Times New Roman"/>
          <w:sz w:val="24"/>
          <w:szCs w:val="24"/>
          <w:lang w:eastAsia="ru-RU"/>
        </w:rPr>
        <w:t>s</w:t>
      </w:r>
      <w:r w:rsidRPr="00BD6815">
        <w:rPr>
          <w:rFonts w:ascii="Times New Roman" w:hAnsi="Times New Roman"/>
          <w:sz w:val="24"/>
          <w:szCs w:val="24"/>
          <w:lang w:eastAsia="ru-RU"/>
        </w:rPr>
        <w:t xml:space="preserve"> proportionally or should be transferred to the state or municipal budgets.</w:t>
      </w:r>
    </w:p>
    <w:p w:rsidR="00C00655" w:rsidRPr="00BD6815" w:rsidRDefault="00F67227" w:rsidP="00BB1874">
      <w:pPr>
        <w:autoSpaceDE w:val="0"/>
        <w:autoSpaceDN w:val="0"/>
        <w:adjustRightInd w:val="0"/>
        <w:spacing w:before="120" w:after="120" w:line="240" w:lineRule="auto"/>
        <w:jc w:val="both"/>
        <w:rPr>
          <w:rFonts w:cs="Calibri"/>
          <w:lang w:eastAsia="ru-RU"/>
        </w:rPr>
      </w:pPr>
      <w:r w:rsidRPr="00BD6815">
        <w:rPr>
          <w:rFonts w:ascii="Times New Roman" w:hAnsi="Times New Roman"/>
          <w:sz w:val="24"/>
          <w:szCs w:val="24"/>
          <w:lang w:eastAsia="ru-RU"/>
        </w:rPr>
        <w:t xml:space="preserve">Paid advertisement is regulated by the law which requires all public and private television and radio companies to provide equal opportunity and conditions for all candidates and political parties. </w:t>
      </w:r>
    </w:p>
    <w:p w:rsidR="00F67227" w:rsidRPr="00BD6815" w:rsidRDefault="00F67227"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The election funds can be spent only for their intended purposes which are limited to three categories by the Election Code:</w:t>
      </w:r>
    </w:p>
    <w:p w:rsidR="00C00655" w:rsidRPr="00BD6815" w:rsidRDefault="00C00655" w:rsidP="00F67227">
      <w:pPr>
        <w:numPr>
          <w:ilvl w:val="0"/>
          <w:numId w:val="6"/>
        </w:numPr>
        <w:autoSpaceDE w:val="0"/>
        <w:autoSpaceDN w:val="0"/>
        <w:adjustRightInd w:val="0"/>
        <w:spacing w:before="60" w:after="60" w:line="240" w:lineRule="auto"/>
        <w:ind w:left="993"/>
        <w:jc w:val="both"/>
        <w:rPr>
          <w:rFonts w:ascii="Times New Roman" w:hAnsi="Times New Roman"/>
          <w:sz w:val="24"/>
          <w:lang w:eastAsia="ru-RU"/>
        </w:rPr>
      </w:pPr>
      <w:r w:rsidRPr="00BD6815">
        <w:rPr>
          <w:rFonts w:ascii="Times New Roman" w:hAnsi="Times New Roman"/>
          <w:sz w:val="24"/>
          <w:lang w:eastAsia="ru-RU"/>
        </w:rPr>
        <w:t xml:space="preserve">To finance organizational-technical actions for the collection of signatures in support of the nomination of candidates or approval of referendum campaign group members, as well as to pay the relevant persons for collecting voters’ signatures; </w:t>
      </w:r>
    </w:p>
    <w:p w:rsidR="00C00655" w:rsidRPr="00BD6815" w:rsidRDefault="00C00655" w:rsidP="00F67227">
      <w:pPr>
        <w:numPr>
          <w:ilvl w:val="0"/>
          <w:numId w:val="6"/>
        </w:numPr>
        <w:autoSpaceDE w:val="0"/>
        <w:autoSpaceDN w:val="0"/>
        <w:adjustRightInd w:val="0"/>
        <w:spacing w:before="60" w:after="60" w:line="240" w:lineRule="auto"/>
        <w:ind w:left="993"/>
        <w:jc w:val="both"/>
        <w:rPr>
          <w:rFonts w:ascii="Times New Roman" w:hAnsi="Times New Roman"/>
          <w:sz w:val="24"/>
          <w:lang w:eastAsia="ru-RU"/>
        </w:rPr>
      </w:pPr>
      <w:r w:rsidRPr="00BD6815">
        <w:rPr>
          <w:rFonts w:ascii="Times New Roman" w:hAnsi="Times New Roman"/>
          <w:sz w:val="24"/>
          <w:lang w:eastAsia="ru-RU"/>
        </w:rPr>
        <w:t xml:space="preserve">To pay </w:t>
      </w:r>
      <w:r w:rsidR="00F67227" w:rsidRPr="00BD6815">
        <w:rPr>
          <w:rFonts w:ascii="Times New Roman" w:hAnsi="Times New Roman"/>
          <w:sz w:val="24"/>
          <w:lang w:eastAsia="ru-RU"/>
        </w:rPr>
        <w:t xml:space="preserve">for election campaign </w:t>
      </w:r>
      <w:r w:rsidRPr="00BD6815">
        <w:rPr>
          <w:rFonts w:ascii="Times New Roman" w:hAnsi="Times New Roman"/>
          <w:sz w:val="24"/>
          <w:lang w:eastAsia="ru-RU"/>
        </w:rPr>
        <w:t xml:space="preserve">expenses and information and consulting services; </w:t>
      </w:r>
    </w:p>
    <w:p w:rsidR="00A368D9" w:rsidRPr="00BD6815" w:rsidRDefault="00C00655" w:rsidP="007746A1">
      <w:pPr>
        <w:numPr>
          <w:ilvl w:val="0"/>
          <w:numId w:val="6"/>
        </w:numPr>
        <w:autoSpaceDE w:val="0"/>
        <w:autoSpaceDN w:val="0"/>
        <w:adjustRightInd w:val="0"/>
        <w:spacing w:before="60" w:after="60" w:line="240" w:lineRule="auto"/>
        <w:ind w:left="993"/>
        <w:jc w:val="both"/>
        <w:rPr>
          <w:rFonts w:ascii="Times New Roman" w:hAnsi="Times New Roman"/>
          <w:sz w:val="24"/>
          <w:lang w:eastAsia="ru-RU"/>
        </w:rPr>
      </w:pPr>
      <w:r w:rsidRPr="00BD6815">
        <w:rPr>
          <w:rFonts w:ascii="Times New Roman" w:hAnsi="Times New Roman"/>
          <w:sz w:val="24"/>
          <w:lang w:eastAsia="ru-RU"/>
        </w:rPr>
        <w:t xml:space="preserve">To cover other expenses for work performed directly by legal entities and individuals during the </w:t>
      </w:r>
      <w:r w:rsidR="00F67227" w:rsidRPr="00BD6815">
        <w:rPr>
          <w:rFonts w:ascii="Times New Roman" w:hAnsi="Times New Roman"/>
          <w:sz w:val="24"/>
          <w:lang w:eastAsia="ru-RU"/>
        </w:rPr>
        <w:t>election</w:t>
      </w:r>
      <w:r w:rsidRPr="00BD6815">
        <w:rPr>
          <w:rFonts w:ascii="Times New Roman" w:hAnsi="Times New Roman"/>
          <w:sz w:val="24"/>
          <w:lang w:eastAsia="ru-RU"/>
        </w:rPr>
        <w:t xml:space="preserve"> campaign. </w:t>
      </w:r>
      <w:r w:rsidR="00471D6D" w:rsidRPr="00BD6815">
        <w:rPr>
          <w:rFonts w:ascii="Times New Roman" w:hAnsi="Times New Roman"/>
          <w:sz w:val="24"/>
          <w:lang w:eastAsia="ru-RU"/>
        </w:rPr>
        <w:t xml:space="preserve"> </w:t>
      </w:r>
    </w:p>
    <w:p w:rsidR="00725BFF" w:rsidRPr="00BD6815" w:rsidRDefault="00725BFF" w:rsidP="00725BFF">
      <w:pPr>
        <w:autoSpaceDE w:val="0"/>
        <w:autoSpaceDN w:val="0"/>
        <w:adjustRightInd w:val="0"/>
        <w:spacing w:before="60" w:after="60" w:line="240" w:lineRule="auto"/>
        <w:ind w:left="993"/>
        <w:jc w:val="both"/>
        <w:rPr>
          <w:rFonts w:ascii="Times New Roman" w:hAnsi="Times New Roman"/>
          <w:sz w:val="24"/>
          <w:lang w:eastAsia="ru-RU"/>
        </w:rPr>
      </w:pPr>
    </w:p>
    <w:p w:rsidR="00E667EB" w:rsidRPr="00BD6815" w:rsidRDefault="00E667EB" w:rsidP="00E667EB">
      <w:pPr>
        <w:autoSpaceDE w:val="0"/>
        <w:autoSpaceDN w:val="0"/>
        <w:adjustRightInd w:val="0"/>
        <w:spacing w:before="60" w:after="60" w:line="240" w:lineRule="auto"/>
        <w:jc w:val="both"/>
        <w:rPr>
          <w:rFonts w:ascii="Times New Roman" w:hAnsi="Times New Roman"/>
          <w:sz w:val="24"/>
          <w:lang w:eastAsia="ru-RU"/>
        </w:rPr>
      </w:pPr>
    </w:p>
    <w:p w:rsidR="00D2795D" w:rsidRPr="00BD6815" w:rsidRDefault="00A368D9" w:rsidP="00BB1874">
      <w:pPr>
        <w:autoSpaceDE w:val="0"/>
        <w:autoSpaceDN w:val="0"/>
        <w:adjustRightInd w:val="0"/>
        <w:spacing w:before="120" w:after="120" w:line="240" w:lineRule="auto"/>
        <w:jc w:val="both"/>
        <w:rPr>
          <w:rFonts w:ascii="Times New Roman" w:hAnsi="Times New Roman"/>
          <w:b/>
          <w:i/>
          <w:sz w:val="24"/>
          <w:szCs w:val="28"/>
          <w:lang w:eastAsia="ru-RU"/>
        </w:rPr>
      </w:pPr>
      <w:r w:rsidRPr="00BD6815">
        <w:rPr>
          <w:rFonts w:ascii="Times New Roman" w:hAnsi="Times New Roman"/>
          <w:b/>
          <w:i/>
          <w:sz w:val="24"/>
          <w:szCs w:val="28"/>
          <w:lang w:eastAsia="ru-RU"/>
        </w:rPr>
        <w:t xml:space="preserve">Reporting </w:t>
      </w:r>
    </w:p>
    <w:p w:rsidR="00A368D9" w:rsidRPr="00BD6815" w:rsidRDefault="00A8499F" w:rsidP="00BB1874">
      <w:pPr>
        <w:autoSpaceDE w:val="0"/>
        <w:autoSpaceDN w:val="0"/>
        <w:adjustRightInd w:val="0"/>
        <w:spacing w:before="120" w:after="120" w:line="240" w:lineRule="auto"/>
        <w:jc w:val="both"/>
        <w:rPr>
          <w:rFonts w:ascii="Times New Roman" w:hAnsi="Times New Roman"/>
          <w:sz w:val="24"/>
          <w:lang w:eastAsia="ru-RU"/>
        </w:rPr>
      </w:pPr>
      <w:r w:rsidRPr="00BD6815">
        <w:rPr>
          <w:rFonts w:ascii="Times New Roman" w:hAnsi="Times New Roman"/>
          <w:sz w:val="24"/>
          <w:lang w:eastAsia="ru-RU"/>
        </w:rPr>
        <w:t>Election fund should be open in a</w:t>
      </w:r>
      <w:r w:rsidR="00A368D9" w:rsidRPr="00BD6815">
        <w:rPr>
          <w:rFonts w:ascii="Times New Roman" w:hAnsi="Times New Roman"/>
          <w:sz w:val="24"/>
          <w:lang w:eastAsia="ru-RU"/>
        </w:rPr>
        <w:t xml:space="preserve"> determined by the CEC</w:t>
      </w:r>
      <w:r w:rsidRPr="00BD6815">
        <w:rPr>
          <w:rFonts w:ascii="Times New Roman" w:hAnsi="Times New Roman"/>
          <w:sz w:val="24"/>
          <w:lang w:eastAsia="ru-RU"/>
        </w:rPr>
        <w:t xml:space="preserve"> and election participants should use this dedicated bank account for all operations (contributions and expenditures) related to election campaign. Registered candidates, political parties, blocs of political parties are obliged to register and report to the CEC </w:t>
      </w:r>
      <w:r w:rsidRPr="00BD6815">
        <w:rPr>
          <w:rFonts w:ascii="Times New Roman" w:hAnsi="Times New Roman"/>
          <w:sz w:val="24"/>
          <w:lang w:eastAsia="ru-RU"/>
        </w:rPr>
        <w:sym w:font="Symbol" w:char="F02D"/>
      </w:r>
      <w:r w:rsidRPr="00BD6815">
        <w:rPr>
          <w:rFonts w:ascii="Times New Roman" w:hAnsi="Times New Roman"/>
          <w:sz w:val="24"/>
          <w:lang w:eastAsia="ru-RU"/>
        </w:rPr>
        <w:t xml:space="preserve"> the main supervisory body regulating the reporting of campaign financing </w:t>
      </w:r>
      <w:r w:rsidRPr="00BD6815">
        <w:rPr>
          <w:rFonts w:ascii="Times New Roman" w:hAnsi="Times New Roman"/>
          <w:sz w:val="24"/>
          <w:lang w:eastAsia="ru-RU"/>
        </w:rPr>
        <w:sym w:font="Symbol" w:char="F02D"/>
      </w:r>
      <w:r w:rsidRPr="00BD6815">
        <w:rPr>
          <w:rFonts w:ascii="Times New Roman" w:hAnsi="Times New Roman"/>
          <w:sz w:val="24"/>
          <w:lang w:eastAsia="ru-RU"/>
        </w:rPr>
        <w:t xml:space="preserve"> on all operations.</w:t>
      </w:r>
      <w:r w:rsidR="001D37D8" w:rsidRPr="00BD6815">
        <w:rPr>
          <w:rFonts w:ascii="Times New Roman" w:hAnsi="Times New Roman"/>
          <w:sz w:val="24"/>
          <w:lang w:eastAsia="ru-RU"/>
        </w:rPr>
        <w:t xml:space="preserve"> The CEC is coordinating with the financial regulator </w:t>
      </w:r>
      <w:r w:rsidR="001D37D8" w:rsidRPr="00BD6815">
        <w:rPr>
          <w:rFonts w:ascii="Times New Roman" w:hAnsi="Times New Roman"/>
          <w:sz w:val="24"/>
          <w:lang w:eastAsia="ru-RU"/>
        </w:rPr>
        <w:sym w:font="Symbol" w:char="F02D"/>
      </w:r>
      <w:r w:rsidR="001D37D8" w:rsidRPr="00BD6815">
        <w:rPr>
          <w:rFonts w:ascii="Times New Roman" w:hAnsi="Times New Roman"/>
          <w:sz w:val="24"/>
          <w:lang w:eastAsia="ru-RU"/>
        </w:rPr>
        <w:t xml:space="preserve"> Financial Markets Supervisory Authority. </w:t>
      </w:r>
      <w:r w:rsidRPr="00BD6815">
        <w:rPr>
          <w:rFonts w:ascii="Times New Roman" w:hAnsi="Times New Roman"/>
          <w:sz w:val="24"/>
          <w:lang w:eastAsia="ru-RU"/>
        </w:rPr>
        <w:t xml:space="preserve">Candidates, political parties or blocs are required to provide three reports during the election: </w:t>
      </w:r>
    </w:p>
    <w:p w:rsidR="00A368D9" w:rsidRPr="00BD6815" w:rsidRDefault="00A368D9" w:rsidP="00A368D9">
      <w:pPr>
        <w:numPr>
          <w:ilvl w:val="0"/>
          <w:numId w:val="1"/>
        </w:numPr>
        <w:autoSpaceDE w:val="0"/>
        <w:autoSpaceDN w:val="0"/>
        <w:adjustRightInd w:val="0"/>
        <w:spacing w:after="0" w:line="240" w:lineRule="auto"/>
        <w:ind w:left="720" w:hanging="360"/>
        <w:jc w:val="both"/>
        <w:rPr>
          <w:rFonts w:ascii="Times New Roman" w:hAnsi="Times New Roman"/>
          <w:sz w:val="24"/>
          <w:lang w:eastAsia="ru-RU"/>
        </w:rPr>
      </w:pPr>
      <w:proofErr w:type="gramStart"/>
      <w:r w:rsidRPr="00BD6815">
        <w:rPr>
          <w:rFonts w:ascii="Times New Roman" w:hAnsi="Times New Roman"/>
          <w:sz w:val="24"/>
          <w:lang w:eastAsia="ru-RU"/>
        </w:rPr>
        <w:t>the</w:t>
      </w:r>
      <w:proofErr w:type="gramEnd"/>
      <w:r w:rsidRPr="00BD6815">
        <w:rPr>
          <w:rFonts w:ascii="Times New Roman" w:hAnsi="Times New Roman"/>
          <w:sz w:val="24"/>
          <w:lang w:eastAsia="ru-RU"/>
        </w:rPr>
        <w:t xml:space="preserve"> first report should be submitted </w:t>
      </w:r>
      <w:r w:rsidR="00A8499F" w:rsidRPr="00BD6815">
        <w:rPr>
          <w:rFonts w:ascii="Times New Roman" w:hAnsi="Times New Roman"/>
          <w:sz w:val="24"/>
          <w:lang w:eastAsia="ru-RU"/>
        </w:rPr>
        <w:t>during</w:t>
      </w:r>
      <w:r w:rsidRPr="00BD6815">
        <w:rPr>
          <w:rFonts w:ascii="Times New Roman" w:hAnsi="Times New Roman"/>
          <w:sz w:val="24"/>
          <w:lang w:eastAsia="ru-RU"/>
        </w:rPr>
        <w:t xml:space="preserve"> the registration process along with the required documents for registration. This report should contain information for the period of two days prior to the date indicated in the report; </w:t>
      </w:r>
    </w:p>
    <w:p w:rsidR="00A368D9" w:rsidRPr="00BD6815" w:rsidRDefault="00A368D9" w:rsidP="00A368D9">
      <w:pPr>
        <w:numPr>
          <w:ilvl w:val="0"/>
          <w:numId w:val="1"/>
        </w:numPr>
        <w:autoSpaceDE w:val="0"/>
        <w:autoSpaceDN w:val="0"/>
        <w:adjustRightInd w:val="0"/>
        <w:spacing w:after="0" w:line="240" w:lineRule="auto"/>
        <w:ind w:left="720" w:hanging="360"/>
        <w:jc w:val="both"/>
        <w:rPr>
          <w:rFonts w:ascii="Times New Roman" w:hAnsi="Times New Roman"/>
          <w:sz w:val="24"/>
          <w:lang w:eastAsia="ru-RU"/>
        </w:rPr>
      </w:pPr>
      <w:r w:rsidRPr="00BD6815">
        <w:rPr>
          <w:rFonts w:ascii="Times New Roman" w:hAnsi="Times New Roman"/>
          <w:sz w:val="24"/>
          <w:lang w:eastAsia="ru-RU"/>
        </w:rPr>
        <w:t xml:space="preserve">the second report should be submitted between 10 to 20 days prior to the Election Day and should contain information for the period of seven days prior to the date of reporting; </w:t>
      </w:r>
    </w:p>
    <w:p w:rsidR="00A368D9" w:rsidRPr="00BD6815" w:rsidRDefault="00A368D9" w:rsidP="00A368D9">
      <w:pPr>
        <w:numPr>
          <w:ilvl w:val="0"/>
          <w:numId w:val="1"/>
        </w:numPr>
        <w:autoSpaceDE w:val="0"/>
        <w:autoSpaceDN w:val="0"/>
        <w:adjustRightInd w:val="0"/>
        <w:spacing w:after="0" w:line="240" w:lineRule="auto"/>
        <w:ind w:left="720" w:hanging="360"/>
        <w:jc w:val="both"/>
        <w:rPr>
          <w:rFonts w:ascii="Times New Roman" w:hAnsi="Times New Roman"/>
          <w:sz w:val="24"/>
          <w:lang w:eastAsia="ru-RU"/>
        </w:rPr>
      </w:pPr>
      <w:proofErr w:type="gramStart"/>
      <w:r w:rsidRPr="00BD6815">
        <w:rPr>
          <w:rFonts w:ascii="Times New Roman" w:hAnsi="Times New Roman"/>
          <w:sz w:val="24"/>
          <w:lang w:eastAsia="ru-RU"/>
        </w:rPr>
        <w:t>the</w:t>
      </w:r>
      <w:proofErr w:type="gramEnd"/>
      <w:r w:rsidRPr="00BD6815">
        <w:rPr>
          <w:rFonts w:ascii="Times New Roman" w:hAnsi="Times New Roman"/>
          <w:sz w:val="24"/>
          <w:lang w:eastAsia="ru-RU"/>
        </w:rPr>
        <w:t xml:space="preserve"> third and final report should be submitted at latest 10 days after final results of elections (referendum) are officially published. The initial financial documents on the collection and expenditure of election funds should be attached to the final financial report.</w:t>
      </w:r>
    </w:p>
    <w:p w:rsidR="001D37D8" w:rsidRPr="00BD6815" w:rsidRDefault="001D37D8" w:rsidP="00BB1874">
      <w:pPr>
        <w:autoSpaceDE w:val="0"/>
        <w:autoSpaceDN w:val="0"/>
        <w:adjustRightInd w:val="0"/>
        <w:spacing w:before="120" w:after="120" w:line="240" w:lineRule="auto"/>
        <w:jc w:val="both"/>
        <w:rPr>
          <w:rFonts w:ascii="Times New Roman" w:hAnsi="Times New Roman"/>
          <w:sz w:val="24"/>
          <w:lang w:eastAsia="ru-RU"/>
        </w:rPr>
      </w:pPr>
      <w:r w:rsidRPr="00BD6815">
        <w:rPr>
          <w:rFonts w:ascii="Times New Roman" w:hAnsi="Times New Roman"/>
          <w:sz w:val="24"/>
          <w:lang w:eastAsia="ru-RU"/>
        </w:rPr>
        <w:t xml:space="preserve">The relevant banks should submit separate reports on election funds to the CEC at least once a week during the election period. </w:t>
      </w:r>
    </w:p>
    <w:p w:rsidR="007E0799" w:rsidRPr="00BD6815" w:rsidRDefault="007E0799" w:rsidP="00BB1874">
      <w:pPr>
        <w:autoSpaceDE w:val="0"/>
        <w:autoSpaceDN w:val="0"/>
        <w:adjustRightInd w:val="0"/>
        <w:spacing w:before="120" w:after="120" w:line="240" w:lineRule="auto"/>
        <w:jc w:val="both"/>
        <w:rPr>
          <w:rFonts w:ascii="Times New Roman" w:hAnsi="Times New Roman"/>
          <w:sz w:val="24"/>
          <w:lang w:eastAsia="ru-RU"/>
        </w:rPr>
      </w:pPr>
      <w:r w:rsidRPr="00BD6815">
        <w:rPr>
          <w:rFonts w:ascii="Times New Roman" w:hAnsi="Times New Roman"/>
          <w:sz w:val="24"/>
          <w:lang w:eastAsia="ru-RU"/>
        </w:rPr>
        <w:t>Taki</w:t>
      </w:r>
      <w:r w:rsidR="00930A33" w:rsidRPr="00BD6815">
        <w:rPr>
          <w:rFonts w:ascii="Times New Roman" w:hAnsi="Times New Roman"/>
          <w:sz w:val="24"/>
          <w:lang w:eastAsia="ru-RU"/>
        </w:rPr>
        <w:t xml:space="preserve">ng into account very short period of </w:t>
      </w:r>
      <w:r w:rsidRPr="00BD6815">
        <w:rPr>
          <w:rFonts w:ascii="Times New Roman" w:hAnsi="Times New Roman"/>
          <w:sz w:val="24"/>
          <w:lang w:eastAsia="ru-RU"/>
        </w:rPr>
        <w:t>election c</w:t>
      </w:r>
      <w:r w:rsidR="00930A33" w:rsidRPr="00BD6815">
        <w:rPr>
          <w:rFonts w:ascii="Times New Roman" w:hAnsi="Times New Roman"/>
          <w:sz w:val="24"/>
          <w:lang w:eastAsia="ru-RU"/>
        </w:rPr>
        <w:t>ampaign, such complicated and demanding reporting schedule make the process difficult for political parties and candidates.</w:t>
      </w:r>
    </w:p>
    <w:p w:rsidR="00041ABE" w:rsidRPr="00BD6815" w:rsidRDefault="003262C4" w:rsidP="00BB1874">
      <w:pPr>
        <w:autoSpaceDE w:val="0"/>
        <w:autoSpaceDN w:val="0"/>
        <w:adjustRightInd w:val="0"/>
        <w:spacing w:before="120" w:after="120" w:line="240" w:lineRule="auto"/>
        <w:jc w:val="both"/>
        <w:rPr>
          <w:rFonts w:ascii="Times New Roman" w:hAnsi="Times New Roman"/>
          <w:sz w:val="24"/>
          <w:lang w:eastAsia="ru-RU"/>
        </w:rPr>
      </w:pPr>
      <w:r w:rsidRPr="00BD6815">
        <w:rPr>
          <w:rFonts w:ascii="Times New Roman" w:hAnsi="Times New Roman"/>
          <w:sz w:val="24"/>
          <w:lang w:eastAsia="ru-RU"/>
        </w:rPr>
        <w:t xml:space="preserve">The Election Code stipulates the CEC to make the financial reports of candidates, political parties and blocs available for public within five days of reporting. </w:t>
      </w:r>
      <w:r w:rsidR="00A368D9" w:rsidRPr="00BD6815">
        <w:rPr>
          <w:rFonts w:ascii="Times New Roman" w:hAnsi="Times New Roman"/>
          <w:sz w:val="24"/>
          <w:lang w:eastAsia="ru-RU"/>
        </w:rPr>
        <w:t xml:space="preserve">The CEC </w:t>
      </w:r>
      <w:r w:rsidR="001D37D8" w:rsidRPr="00BD6815">
        <w:rPr>
          <w:rFonts w:ascii="Times New Roman" w:hAnsi="Times New Roman"/>
          <w:sz w:val="24"/>
          <w:lang w:eastAsia="ru-RU"/>
        </w:rPr>
        <w:t>should provide</w:t>
      </w:r>
      <w:r w:rsidR="00A368D9" w:rsidRPr="00BD6815">
        <w:rPr>
          <w:rFonts w:ascii="Times New Roman" w:hAnsi="Times New Roman"/>
          <w:sz w:val="24"/>
          <w:lang w:eastAsia="ru-RU"/>
        </w:rPr>
        <w:t xml:space="preserve"> information to media about financing of the candidates and political parties at least once every two weeks. </w:t>
      </w:r>
      <w:r w:rsidR="00041ABE" w:rsidRPr="00BD6815">
        <w:rPr>
          <w:rFonts w:ascii="Times New Roman" w:hAnsi="Times New Roman"/>
          <w:sz w:val="24"/>
          <w:lang w:eastAsia="ru-RU"/>
        </w:rPr>
        <w:t>In compliance with international standards, s</w:t>
      </w:r>
      <w:r w:rsidR="00A368D9" w:rsidRPr="00BD6815">
        <w:rPr>
          <w:rFonts w:ascii="Times New Roman" w:hAnsi="Times New Roman"/>
          <w:sz w:val="24"/>
          <w:lang w:eastAsia="ru-RU"/>
        </w:rPr>
        <w:t>ources of all donations larger than cert</w:t>
      </w:r>
      <w:r w:rsidR="001D37D8" w:rsidRPr="00BD6815">
        <w:rPr>
          <w:rFonts w:ascii="Times New Roman" w:hAnsi="Times New Roman"/>
          <w:sz w:val="24"/>
          <w:lang w:eastAsia="ru-RU"/>
        </w:rPr>
        <w:t xml:space="preserve">ain threshold should be </w:t>
      </w:r>
      <w:r w:rsidR="00A368D9" w:rsidRPr="00BD6815">
        <w:rPr>
          <w:rFonts w:ascii="Times New Roman" w:hAnsi="Times New Roman"/>
          <w:sz w:val="24"/>
          <w:lang w:eastAsia="ru-RU"/>
        </w:rPr>
        <w:t xml:space="preserve">open to public. </w:t>
      </w:r>
    </w:p>
    <w:p w:rsidR="00A368D9" w:rsidRPr="00BD6815" w:rsidRDefault="00A368D9" w:rsidP="00BB1874">
      <w:pPr>
        <w:autoSpaceDE w:val="0"/>
        <w:autoSpaceDN w:val="0"/>
        <w:adjustRightInd w:val="0"/>
        <w:spacing w:before="120" w:after="120" w:line="240" w:lineRule="auto"/>
        <w:jc w:val="both"/>
        <w:rPr>
          <w:rFonts w:ascii="Times New Roman" w:hAnsi="Times New Roman"/>
          <w:sz w:val="24"/>
          <w:lang w:eastAsia="ru-RU"/>
        </w:rPr>
      </w:pPr>
      <w:r w:rsidRPr="00BD6815">
        <w:rPr>
          <w:rFonts w:ascii="Times New Roman" w:hAnsi="Times New Roman"/>
          <w:sz w:val="24"/>
          <w:lang w:eastAsia="ru-RU"/>
        </w:rPr>
        <w:lastRenderedPageBreak/>
        <w:t>Also the relevant executive authorities should submit information about legal entities th</w:t>
      </w:r>
      <w:r w:rsidR="00041ABE" w:rsidRPr="00BD6815">
        <w:rPr>
          <w:rFonts w:ascii="Times New Roman" w:hAnsi="Times New Roman"/>
          <w:sz w:val="24"/>
          <w:lang w:eastAsia="ru-RU"/>
        </w:rPr>
        <w:t>a</w:t>
      </w:r>
      <w:r w:rsidRPr="00BD6815">
        <w:rPr>
          <w:rFonts w:ascii="Times New Roman" w:hAnsi="Times New Roman"/>
          <w:sz w:val="24"/>
          <w:lang w:eastAsia="ru-RU"/>
        </w:rPr>
        <w:t xml:space="preserve">t donated to election funds. Furthermore, records of the cost and volume of print-space and airtime allocated to candidates and parties should be also provided to the election commission by the TV and radio companies. </w:t>
      </w:r>
    </w:p>
    <w:p w:rsidR="008016E6" w:rsidRDefault="00041ABE" w:rsidP="00A165E0">
      <w:pPr>
        <w:autoSpaceDE w:val="0"/>
        <w:autoSpaceDN w:val="0"/>
        <w:adjustRightInd w:val="0"/>
        <w:spacing w:before="120" w:after="120" w:line="240" w:lineRule="auto"/>
        <w:jc w:val="both"/>
        <w:rPr>
          <w:rFonts w:ascii="Times New Roman" w:hAnsi="Times New Roman"/>
          <w:sz w:val="24"/>
          <w:lang w:eastAsia="ru-RU"/>
        </w:rPr>
      </w:pPr>
      <w:r w:rsidRPr="00B934DF">
        <w:rPr>
          <w:rFonts w:ascii="Times New Roman" w:hAnsi="Times New Roman"/>
          <w:sz w:val="24"/>
          <w:lang w:eastAsia="ru-RU"/>
        </w:rPr>
        <w:t>However, in practice, the financial reports are not published by the CEC in a violation of requirement of the legislation.</w:t>
      </w:r>
      <w:r w:rsidR="007E0799" w:rsidRPr="00BD6815">
        <w:rPr>
          <w:rFonts w:ascii="Times New Roman" w:hAnsi="Times New Roman"/>
          <w:sz w:val="24"/>
          <w:lang w:eastAsia="ru-RU"/>
        </w:rPr>
        <w:t xml:space="preserve"> </w:t>
      </w:r>
    </w:p>
    <w:p w:rsidR="00D2795D" w:rsidRPr="00A165E0" w:rsidRDefault="00D2795D" w:rsidP="00A165E0">
      <w:pPr>
        <w:autoSpaceDE w:val="0"/>
        <w:autoSpaceDN w:val="0"/>
        <w:adjustRightInd w:val="0"/>
        <w:spacing w:before="120" w:after="120" w:line="240" w:lineRule="auto"/>
        <w:jc w:val="both"/>
        <w:rPr>
          <w:rFonts w:ascii="Times New Roman" w:hAnsi="Times New Roman"/>
          <w:sz w:val="24"/>
          <w:lang w:eastAsia="ru-RU"/>
        </w:rPr>
      </w:pPr>
    </w:p>
    <w:p w:rsidR="00D2795D" w:rsidRPr="00D2795D" w:rsidRDefault="00930A33" w:rsidP="00D2795D">
      <w:pPr>
        <w:numPr>
          <w:ilvl w:val="0"/>
          <w:numId w:val="11"/>
        </w:numPr>
        <w:autoSpaceDE w:val="0"/>
        <w:autoSpaceDN w:val="0"/>
        <w:adjustRightInd w:val="0"/>
        <w:spacing w:before="120" w:after="120" w:line="240" w:lineRule="auto"/>
        <w:jc w:val="both"/>
        <w:rPr>
          <w:rFonts w:ascii="Times New Roman" w:hAnsi="Times New Roman"/>
          <w:b/>
          <w:sz w:val="24"/>
          <w:lang w:eastAsia="ru-RU"/>
        </w:rPr>
      </w:pPr>
      <w:r w:rsidRPr="00B934DF">
        <w:rPr>
          <w:rFonts w:ascii="Times New Roman" w:hAnsi="Times New Roman"/>
          <w:b/>
          <w:sz w:val="24"/>
          <w:lang w:eastAsia="ru-RU"/>
        </w:rPr>
        <w:t>Abuse of a</w:t>
      </w:r>
      <w:r w:rsidR="00FB4E9E" w:rsidRPr="00B934DF">
        <w:rPr>
          <w:rFonts w:ascii="Times New Roman" w:hAnsi="Times New Roman"/>
          <w:b/>
          <w:sz w:val="24"/>
          <w:lang w:eastAsia="ru-RU"/>
        </w:rPr>
        <w:t xml:space="preserve">dministrative resources </w:t>
      </w:r>
    </w:p>
    <w:p w:rsidR="00930A33" w:rsidRPr="00BD6815" w:rsidRDefault="00930A33" w:rsidP="00930A33">
      <w:pPr>
        <w:autoSpaceDE w:val="0"/>
        <w:autoSpaceDN w:val="0"/>
        <w:adjustRightInd w:val="0"/>
        <w:spacing w:before="120" w:after="120" w:line="240" w:lineRule="auto"/>
        <w:jc w:val="both"/>
        <w:rPr>
          <w:rFonts w:ascii="Times New Roman" w:hAnsi="Times New Roman"/>
          <w:sz w:val="24"/>
          <w:lang w:eastAsia="ru-RU"/>
        </w:rPr>
      </w:pPr>
      <w:r w:rsidRPr="00BD6815">
        <w:rPr>
          <w:rFonts w:ascii="Times New Roman" w:hAnsi="Times New Roman"/>
          <w:sz w:val="24"/>
          <w:lang w:eastAsia="ru-RU"/>
        </w:rPr>
        <w:t xml:space="preserve">The Election Code stipulates equal opportunities for candidates during their nomination and specifies </w:t>
      </w:r>
      <w:r w:rsidR="00C4306C" w:rsidRPr="00BD6815">
        <w:rPr>
          <w:rFonts w:ascii="Times New Roman" w:hAnsi="Times New Roman"/>
          <w:sz w:val="24"/>
          <w:lang w:eastAsia="ru-RU"/>
        </w:rPr>
        <w:t xml:space="preserve">any activities of state or municipal officials supporting one's nomination, signature collection, and election campaigning during their working hours as </w:t>
      </w:r>
      <w:r w:rsidRPr="00BD6815">
        <w:rPr>
          <w:rFonts w:ascii="Times New Roman" w:hAnsi="Times New Roman"/>
          <w:sz w:val="24"/>
          <w:lang w:eastAsia="ru-RU"/>
        </w:rPr>
        <w:t>"an abuse of one’s position or occupation to gain advantage</w:t>
      </w:r>
      <w:r w:rsidR="00C4306C" w:rsidRPr="00BD6815">
        <w:rPr>
          <w:rFonts w:ascii="Times New Roman" w:hAnsi="Times New Roman"/>
          <w:sz w:val="24"/>
          <w:lang w:eastAsia="ru-RU"/>
        </w:rPr>
        <w:t>.</w:t>
      </w:r>
      <w:r w:rsidRPr="00BD6815">
        <w:rPr>
          <w:rFonts w:ascii="Times New Roman" w:hAnsi="Times New Roman"/>
          <w:sz w:val="24"/>
          <w:lang w:eastAsia="ru-RU"/>
        </w:rPr>
        <w:t>"</w:t>
      </w:r>
      <w:r w:rsidR="00C4306C" w:rsidRPr="00BD6815">
        <w:rPr>
          <w:rFonts w:ascii="Times New Roman" w:hAnsi="Times New Roman"/>
          <w:sz w:val="24"/>
          <w:lang w:eastAsia="ru-RU"/>
        </w:rPr>
        <w:t xml:space="preserve"> Using buildings of state bodies and municipalities</w:t>
      </w:r>
      <w:r w:rsidR="00C84040" w:rsidRPr="00BD6815">
        <w:rPr>
          <w:rFonts w:ascii="Times New Roman" w:hAnsi="Times New Roman"/>
          <w:sz w:val="24"/>
          <w:lang w:eastAsia="ru-RU"/>
        </w:rPr>
        <w:t xml:space="preserve"> (unless all candidates have equal access to them), their transportation and communications, </w:t>
      </w:r>
      <w:r w:rsidR="00C4306C" w:rsidRPr="00BD6815">
        <w:rPr>
          <w:rFonts w:ascii="Times New Roman" w:hAnsi="Times New Roman"/>
          <w:sz w:val="24"/>
          <w:lang w:eastAsia="ru-RU"/>
        </w:rPr>
        <w:t>along with public media outlets</w:t>
      </w:r>
      <w:r w:rsidR="00C84040" w:rsidRPr="00BD6815">
        <w:rPr>
          <w:rFonts w:ascii="Times New Roman" w:hAnsi="Times New Roman"/>
          <w:sz w:val="24"/>
          <w:lang w:eastAsia="ru-RU"/>
        </w:rPr>
        <w:t xml:space="preserve"> </w:t>
      </w:r>
      <w:proofErr w:type="gramStart"/>
      <w:r w:rsidR="00C84040" w:rsidRPr="00BD6815">
        <w:rPr>
          <w:rFonts w:ascii="Times New Roman" w:hAnsi="Times New Roman"/>
          <w:sz w:val="24"/>
          <w:lang w:eastAsia="ru-RU"/>
        </w:rPr>
        <w:t>is</w:t>
      </w:r>
      <w:proofErr w:type="gramEnd"/>
      <w:r w:rsidR="00C84040" w:rsidRPr="00BD6815">
        <w:rPr>
          <w:rFonts w:ascii="Times New Roman" w:hAnsi="Times New Roman"/>
          <w:sz w:val="24"/>
          <w:lang w:eastAsia="ru-RU"/>
        </w:rPr>
        <w:t xml:space="preserve"> also considered an abuse of administrative resources. </w:t>
      </w:r>
    </w:p>
    <w:p w:rsidR="00C84040" w:rsidRPr="00BD6815" w:rsidRDefault="00C84040" w:rsidP="00930A33">
      <w:pPr>
        <w:autoSpaceDE w:val="0"/>
        <w:autoSpaceDN w:val="0"/>
        <w:adjustRightInd w:val="0"/>
        <w:spacing w:before="120" w:after="120" w:line="240" w:lineRule="auto"/>
        <w:jc w:val="both"/>
        <w:rPr>
          <w:rFonts w:ascii="Times New Roman" w:hAnsi="Times New Roman"/>
          <w:sz w:val="24"/>
          <w:lang w:eastAsia="ru-RU"/>
        </w:rPr>
      </w:pPr>
      <w:r w:rsidRPr="00BD6815">
        <w:rPr>
          <w:rFonts w:ascii="Times New Roman" w:hAnsi="Times New Roman"/>
          <w:sz w:val="24"/>
          <w:lang w:eastAsia="ru-RU"/>
        </w:rPr>
        <w:t>The legislation entails harsh sanctions for abuse of administrative resources. Abuse of official powers and administrative resources with intention of influencing the results of</w:t>
      </w:r>
      <w:r w:rsidR="00B934DF">
        <w:rPr>
          <w:rFonts w:ascii="Times New Roman" w:hAnsi="Times New Roman"/>
          <w:sz w:val="24"/>
          <w:lang w:eastAsia="ru-RU"/>
        </w:rPr>
        <w:t xml:space="preserve"> elections is considered a</w:t>
      </w:r>
      <w:r w:rsidRPr="00BD6815">
        <w:rPr>
          <w:rFonts w:ascii="Times New Roman" w:hAnsi="Times New Roman"/>
          <w:sz w:val="24"/>
          <w:lang w:eastAsia="ru-RU"/>
        </w:rPr>
        <w:t xml:space="preserve"> crime punishable by 8 years of imprisonment. </w:t>
      </w:r>
    </w:p>
    <w:p w:rsidR="00BF5AFA" w:rsidRPr="00BD6815" w:rsidRDefault="008016E6" w:rsidP="00BF5AFA">
      <w:pPr>
        <w:autoSpaceDE w:val="0"/>
        <w:autoSpaceDN w:val="0"/>
        <w:adjustRightInd w:val="0"/>
        <w:spacing w:before="120" w:after="120" w:line="240" w:lineRule="auto"/>
        <w:jc w:val="both"/>
      </w:pPr>
      <w:r>
        <w:rPr>
          <w:rFonts w:ascii="Times New Roman" w:hAnsi="Times New Roman"/>
          <w:sz w:val="24"/>
          <w:lang w:eastAsia="ru-RU"/>
        </w:rPr>
        <w:t>However, the implementation</w:t>
      </w:r>
      <w:r w:rsidR="00C84040" w:rsidRPr="00BD6815">
        <w:rPr>
          <w:rFonts w:ascii="Times New Roman" w:hAnsi="Times New Roman"/>
          <w:sz w:val="24"/>
          <w:lang w:eastAsia="ru-RU"/>
        </w:rPr>
        <w:t xml:space="preserve"> of the legislation </w:t>
      </w:r>
      <w:r w:rsidR="00BF5AFA" w:rsidRPr="00BD6815">
        <w:rPr>
          <w:rFonts w:ascii="Times New Roman" w:hAnsi="Times New Roman"/>
          <w:sz w:val="24"/>
          <w:szCs w:val="24"/>
          <w:lang w:eastAsia="ru-RU"/>
        </w:rPr>
        <w:t xml:space="preserve">falls short of international standards. Authorities have not addressed concerns and recommendations of both international observers like the ODIHR and domestic monitoring groups. During 2010 Parliamentary Elections, the ODIHR reported </w:t>
      </w:r>
      <w:r w:rsidR="00FB4E9E" w:rsidRPr="00BD6815">
        <w:rPr>
          <w:rFonts w:ascii="Times New Roman" w:hAnsi="Times New Roman"/>
          <w:sz w:val="24"/>
          <w:szCs w:val="24"/>
          <w:lang w:eastAsia="ru-RU"/>
        </w:rPr>
        <w:t>“misuse of administrative resources as well as interference by local authorities in favour of candidates from the ruling party created an uneven playing field for candidates.”</w:t>
      </w:r>
      <w:r w:rsidR="00FB4E9E" w:rsidRPr="00BD6815">
        <w:rPr>
          <w:lang w:eastAsia="ru-RU"/>
        </w:rPr>
        <w:footnoteReference w:id="4"/>
      </w:r>
      <w:r w:rsidR="00FB4E9E" w:rsidRPr="00BD6815">
        <w:rPr>
          <w:rFonts w:ascii="Times New Roman" w:hAnsi="Times New Roman"/>
          <w:sz w:val="24"/>
          <w:szCs w:val="24"/>
          <w:lang w:eastAsia="ru-RU"/>
        </w:rPr>
        <w:t xml:space="preserve"> </w:t>
      </w:r>
      <w:r w:rsidR="00BF5AFA" w:rsidRPr="00BD6815">
        <w:rPr>
          <w:rFonts w:ascii="Times New Roman" w:hAnsi="Times New Roman"/>
          <w:sz w:val="24"/>
          <w:szCs w:val="24"/>
          <w:lang w:eastAsia="ru-RU"/>
        </w:rPr>
        <w:t>Employees of state institutions and organizations funded from the budget were involved in signature collection and election campaigning activities. International observers noted similar violations during the 2013 Presidential Elections</w:t>
      </w:r>
      <w:r w:rsidR="00BF5AFA" w:rsidRPr="00BD6815">
        <w:rPr>
          <w:rStyle w:val="FootnoteReference"/>
        </w:rPr>
        <w:footnoteReference w:id="5"/>
      </w:r>
      <w:r w:rsidR="00BF5AFA" w:rsidRPr="00BD6815">
        <w:rPr>
          <w:rFonts w:ascii="Times New Roman" w:hAnsi="Times New Roman"/>
          <w:sz w:val="24"/>
          <w:szCs w:val="24"/>
          <w:lang w:eastAsia="ru-RU"/>
        </w:rPr>
        <w:t xml:space="preserve">. </w:t>
      </w:r>
      <w:r w:rsidR="00BD6815" w:rsidRPr="00BD6815">
        <w:rPr>
          <w:rFonts w:ascii="Times New Roman" w:hAnsi="Times New Roman"/>
          <w:sz w:val="24"/>
          <w:szCs w:val="24"/>
          <w:lang w:eastAsia="ru-RU"/>
        </w:rPr>
        <w:t>Domestic</w:t>
      </w:r>
      <w:r w:rsidR="00BF5AFA" w:rsidRPr="00BD6815">
        <w:rPr>
          <w:rFonts w:ascii="Times New Roman" w:hAnsi="Times New Roman"/>
          <w:sz w:val="24"/>
          <w:szCs w:val="24"/>
          <w:lang w:eastAsia="ru-RU"/>
        </w:rPr>
        <w:t xml:space="preserve"> observation groups also point at abuse of administrative resources during collecting signature for registration of candidates or political parties.</w:t>
      </w:r>
      <w:r w:rsidR="00BF5AFA" w:rsidRPr="00BD6815">
        <w:rPr>
          <w:rStyle w:val="FootnoteReference"/>
        </w:rPr>
        <w:t xml:space="preserve"> </w:t>
      </w:r>
      <w:r w:rsidR="00BF5AFA" w:rsidRPr="00BD6815">
        <w:rPr>
          <w:rStyle w:val="FootnoteReference"/>
        </w:rPr>
        <w:footnoteReference w:id="6"/>
      </w:r>
    </w:p>
    <w:p w:rsidR="00BF5AFA" w:rsidRPr="00BD6815" w:rsidRDefault="00BF5AFA" w:rsidP="00BF5AFA">
      <w:pPr>
        <w:autoSpaceDE w:val="0"/>
        <w:autoSpaceDN w:val="0"/>
        <w:adjustRightInd w:val="0"/>
        <w:spacing w:before="120" w:after="120" w:line="240" w:lineRule="auto"/>
        <w:jc w:val="both"/>
        <w:rPr>
          <w:rFonts w:ascii="Times New Roman" w:hAnsi="Times New Roman"/>
          <w:sz w:val="28"/>
          <w:szCs w:val="24"/>
          <w:lang w:eastAsia="ru-RU"/>
        </w:rPr>
      </w:pPr>
      <w:r w:rsidRPr="00BD6815">
        <w:rPr>
          <w:rFonts w:ascii="Times New Roman" w:hAnsi="Times New Roman"/>
          <w:sz w:val="24"/>
        </w:rPr>
        <w:t xml:space="preserve">None of the reports have </w:t>
      </w:r>
      <w:r w:rsidR="00BD6815" w:rsidRPr="00BD6815">
        <w:rPr>
          <w:rFonts w:ascii="Times New Roman" w:hAnsi="Times New Roman"/>
          <w:sz w:val="24"/>
        </w:rPr>
        <w:t>been investigated and none of officials have been prosecuted.</w:t>
      </w:r>
    </w:p>
    <w:p w:rsidR="00BF5AFA" w:rsidRPr="00BD6815" w:rsidRDefault="00BF5AFA" w:rsidP="00BF5AFA">
      <w:pPr>
        <w:autoSpaceDE w:val="0"/>
        <w:autoSpaceDN w:val="0"/>
        <w:adjustRightInd w:val="0"/>
        <w:spacing w:before="120" w:after="120" w:line="240" w:lineRule="auto"/>
        <w:jc w:val="both"/>
        <w:rPr>
          <w:highlight w:val="yellow"/>
        </w:rPr>
      </w:pPr>
    </w:p>
    <w:p w:rsidR="00A368D9" w:rsidRPr="00BD6815" w:rsidRDefault="00041ABE" w:rsidP="00A368D9">
      <w:pPr>
        <w:autoSpaceDE w:val="0"/>
        <w:autoSpaceDN w:val="0"/>
        <w:adjustRightInd w:val="0"/>
        <w:spacing w:after="0" w:line="240" w:lineRule="auto"/>
        <w:jc w:val="both"/>
        <w:rPr>
          <w:rFonts w:ascii="Times New Roman" w:hAnsi="Times New Roman"/>
          <w:b/>
          <w:sz w:val="24"/>
          <w:szCs w:val="32"/>
          <w:lang w:eastAsia="ru-RU"/>
        </w:rPr>
      </w:pPr>
      <w:r w:rsidRPr="00BD6815">
        <w:rPr>
          <w:rFonts w:ascii="Times New Roman" w:hAnsi="Times New Roman"/>
          <w:b/>
          <w:sz w:val="24"/>
          <w:szCs w:val="32"/>
          <w:lang w:eastAsia="ru-RU"/>
        </w:rPr>
        <w:t>FINDINGS</w:t>
      </w:r>
    </w:p>
    <w:p w:rsidR="008916B8" w:rsidRPr="00BD6815" w:rsidRDefault="008916B8"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 xml:space="preserve">Azerbaijan's legislation on political party and election financing is largely in line with international standards with some exceptions. Engagement with the Council of Europe, GRECO and the OSCE/ODIHR has partially aided </w:t>
      </w:r>
      <w:r w:rsidR="00D31D11" w:rsidRPr="00BD6815">
        <w:rPr>
          <w:rFonts w:ascii="Times New Roman" w:hAnsi="Times New Roman"/>
          <w:sz w:val="24"/>
          <w:szCs w:val="24"/>
          <w:lang w:eastAsia="ru-RU"/>
        </w:rPr>
        <w:t xml:space="preserve">to </w:t>
      </w:r>
      <w:r w:rsidRPr="00BD6815">
        <w:rPr>
          <w:rFonts w:ascii="Times New Roman" w:hAnsi="Times New Roman"/>
          <w:sz w:val="24"/>
          <w:szCs w:val="24"/>
          <w:lang w:eastAsia="ru-RU"/>
        </w:rPr>
        <w:t xml:space="preserve">this compliance. </w:t>
      </w:r>
    </w:p>
    <w:p w:rsidR="007362A5" w:rsidRPr="00BD6815" w:rsidRDefault="00D31D11"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 xml:space="preserve">The legislation does not adequately regulate membership fees leaving it to discretion of political parties. </w:t>
      </w:r>
      <w:r w:rsidR="007362A5" w:rsidRPr="00BD6815">
        <w:rPr>
          <w:rFonts w:ascii="Times New Roman" w:hAnsi="Times New Roman"/>
          <w:sz w:val="24"/>
          <w:szCs w:val="24"/>
          <w:lang w:eastAsia="ru-RU"/>
        </w:rPr>
        <w:t xml:space="preserve">This is at odds with the guidelines of the OSCE/ODIHR which states that "legislation should ensure that membership fees are not used to circumvent contribution limits. This can be accomplished by treating membership fees as contributions". </w:t>
      </w:r>
    </w:p>
    <w:p w:rsidR="00C515C3" w:rsidRPr="00BD6815" w:rsidRDefault="00D31D11"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There are no clear rules and mechanisms to monitor and control in-kind contributions. Annual financial reports of political parties are very ge</w:t>
      </w:r>
      <w:r w:rsidR="00FB4E9E" w:rsidRPr="00BD6815">
        <w:rPr>
          <w:rFonts w:ascii="Times New Roman" w:hAnsi="Times New Roman"/>
          <w:sz w:val="24"/>
          <w:szCs w:val="24"/>
          <w:lang w:eastAsia="ru-RU"/>
        </w:rPr>
        <w:t>neral and does not allow for th</w:t>
      </w:r>
      <w:r w:rsidR="007400BB">
        <w:rPr>
          <w:rFonts w:ascii="Times New Roman" w:hAnsi="Times New Roman"/>
          <w:sz w:val="24"/>
          <w:szCs w:val="24"/>
          <w:lang w:eastAsia="ru-RU"/>
        </w:rPr>
        <w:t>o</w:t>
      </w:r>
      <w:r w:rsidRPr="00BD6815">
        <w:rPr>
          <w:rFonts w:ascii="Times New Roman" w:hAnsi="Times New Roman"/>
          <w:sz w:val="24"/>
          <w:szCs w:val="24"/>
          <w:lang w:eastAsia="ru-RU"/>
        </w:rPr>
        <w:t xml:space="preserve">rough examination either by the supervisory authority CEC or by civil society. </w:t>
      </w:r>
      <w:r w:rsidR="00C515C3" w:rsidRPr="00BD6815">
        <w:rPr>
          <w:rFonts w:ascii="Times New Roman" w:hAnsi="Times New Roman"/>
          <w:sz w:val="24"/>
          <w:szCs w:val="24"/>
          <w:lang w:eastAsia="ru-RU"/>
        </w:rPr>
        <w:t xml:space="preserve">None of the registered political parties indicated any in-kind contribution in their financial reports. </w:t>
      </w:r>
    </w:p>
    <w:p w:rsidR="00D53E78" w:rsidRPr="00BD6815" w:rsidRDefault="00C515C3"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The CEC does not have an adequate capacity or resources to monitor and investigate in-kind contributions.</w:t>
      </w:r>
      <w:r w:rsidR="00D53E78" w:rsidRPr="00BD6815">
        <w:rPr>
          <w:rFonts w:ascii="Times New Roman" w:hAnsi="Times New Roman"/>
          <w:sz w:val="24"/>
          <w:szCs w:val="24"/>
          <w:lang w:eastAsia="ru-RU"/>
        </w:rPr>
        <w:t xml:space="preserve"> The CEC has not asserted itself as proactive supervisor and its publications </w:t>
      </w:r>
      <w:r w:rsidR="007400BB" w:rsidRPr="00BD6815">
        <w:rPr>
          <w:rFonts w:ascii="Times New Roman" w:hAnsi="Times New Roman"/>
          <w:sz w:val="24"/>
          <w:szCs w:val="24"/>
          <w:lang w:eastAsia="ru-RU"/>
        </w:rPr>
        <w:t>ha</w:t>
      </w:r>
      <w:r w:rsidR="007400BB">
        <w:rPr>
          <w:rFonts w:ascii="Times New Roman" w:hAnsi="Times New Roman"/>
          <w:sz w:val="24"/>
          <w:szCs w:val="24"/>
          <w:lang w:eastAsia="ru-RU"/>
        </w:rPr>
        <w:t>ve</w:t>
      </w:r>
      <w:r w:rsidR="007400BB" w:rsidRPr="00BD6815">
        <w:rPr>
          <w:rFonts w:ascii="Times New Roman" w:hAnsi="Times New Roman"/>
          <w:sz w:val="24"/>
          <w:szCs w:val="24"/>
          <w:lang w:eastAsia="ru-RU"/>
        </w:rPr>
        <w:t xml:space="preserve"> </w:t>
      </w:r>
      <w:r w:rsidR="00D53E78" w:rsidRPr="00BD6815">
        <w:rPr>
          <w:rFonts w:ascii="Times New Roman" w:hAnsi="Times New Roman"/>
          <w:sz w:val="24"/>
          <w:szCs w:val="24"/>
          <w:lang w:eastAsia="ru-RU"/>
        </w:rPr>
        <w:t xml:space="preserve">limited visibility </w:t>
      </w:r>
      <w:r w:rsidR="007400BB">
        <w:rPr>
          <w:rFonts w:ascii="Times New Roman" w:hAnsi="Times New Roman"/>
          <w:sz w:val="24"/>
          <w:szCs w:val="24"/>
          <w:lang w:eastAsia="ru-RU"/>
        </w:rPr>
        <w:t>i</w:t>
      </w:r>
      <w:r w:rsidR="007400BB" w:rsidRPr="00BD6815">
        <w:rPr>
          <w:rFonts w:ascii="Times New Roman" w:hAnsi="Times New Roman"/>
          <w:sz w:val="24"/>
          <w:szCs w:val="24"/>
          <w:lang w:eastAsia="ru-RU"/>
        </w:rPr>
        <w:t xml:space="preserve">n </w:t>
      </w:r>
      <w:r w:rsidR="00D53E78" w:rsidRPr="00BD6815">
        <w:rPr>
          <w:rFonts w:ascii="Times New Roman" w:hAnsi="Times New Roman"/>
          <w:sz w:val="24"/>
          <w:szCs w:val="24"/>
          <w:lang w:eastAsia="ru-RU"/>
        </w:rPr>
        <w:t xml:space="preserve">media. </w:t>
      </w:r>
      <w:r w:rsidR="00D53E78" w:rsidRPr="00BD6815">
        <w:rPr>
          <w:rFonts w:ascii="Times New Roman" w:hAnsi="Times New Roman"/>
          <w:sz w:val="24"/>
          <w:szCs w:val="24"/>
          <w:lang w:eastAsia="ru-RU"/>
        </w:rPr>
        <w:lastRenderedPageBreak/>
        <w:t xml:space="preserve">The legislation stipulates weak sanctions regime, but the CEC has chosen to stay away from applying any sanctions. </w:t>
      </w:r>
    </w:p>
    <w:p w:rsidR="00D31D11" w:rsidRPr="00BD6815" w:rsidRDefault="00C515C3"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 xml:space="preserve">Moreover, the political identity of members of the CEC increases the partisanship during the investigations of reports. Azerbaijan has failed to address the recommendation of the OSCE/ODIHR related to </w:t>
      </w:r>
      <w:r w:rsidR="00D53E78" w:rsidRPr="00BD6815">
        <w:rPr>
          <w:rFonts w:ascii="Times New Roman" w:hAnsi="Times New Roman"/>
          <w:sz w:val="24"/>
          <w:szCs w:val="24"/>
          <w:lang w:eastAsia="ru-RU"/>
        </w:rPr>
        <w:t>the formula of composition of the election commissions. The ODIHR states that the current formula "gives pro-government forces a de facto decision-making majority in them."</w:t>
      </w:r>
    </w:p>
    <w:p w:rsidR="00D53E78" w:rsidRPr="00BD6815" w:rsidRDefault="00D53E78"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 xml:space="preserve">Unlike in other countries of the region, civil society organizations </w:t>
      </w:r>
      <w:r w:rsidR="00157C3C" w:rsidRPr="00BD6815">
        <w:rPr>
          <w:rFonts w:ascii="Times New Roman" w:hAnsi="Times New Roman"/>
          <w:sz w:val="24"/>
          <w:szCs w:val="24"/>
          <w:lang w:eastAsia="ru-RU"/>
        </w:rPr>
        <w:t xml:space="preserve">and media </w:t>
      </w:r>
      <w:r w:rsidRPr="00BD6815">
        <w:rPr>
          <w:rFonts w:ascii="Times New Roman" w:hAnsi="Times New Roman"/>
          <w:sz w:val="24"/>
          <w:szCs w:val="24"/>
          <w:lang w:eastAsia="ru-RU"/>
        </w:rPr>
        <w:t xml:space="preserve">are not able to support the CEC acting as watchdogs particularly with regards to monitoring in-kind contributions and election campaign financing due to restrictive legislation and environment. Non-governmental organizations (NGOs) and civic groups do not have access to funding and are not able to operate freely due to amendments to the legislation on NGOs and grants. </w:t>
      </w:r>
      <w:r w:rsidR="00157C3C" w:rsidRPr="00BD6815">
        <w:rPr>
          <w:rFonts w:ascii="Times New Roman" w:hAnsi="Times New Roman"/>
          <w:sz w:val="24"/>
          <w:szCs w:val="24"/>
          <w:lang w:eastAsia="ru-RU"/>
        </w:rPr>
        <w:t>As stated by the ODIHR, detentions, intimidations, physical attacks and imprisonment of journalists negatively affect the media environment. Recent ban of five news websites further added to the negative trend.</w:t>
      </w:r>
    </w:p>
    <w:p w:rsidR="009826DA" w:rsidRPr="00BD6815" w:rsidRDefault="00157C3C"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 xml:space="preserve">Candidates and political parties do not have sufficient access to financing. The formula of division of public funding favours the ruling party, while smaller parties receive limited or no funding. </w:t>
      </w:r>
      <w:r w:rsidR="009826DA" w:rsidRPr="00BD6815">
        <w:rPr>
          <w:rFonts w:ascii="Times New Roman" w:hAnsi="Times New Roman"/>
          <w:sz w:val="24"/>
          <w:szCs w:val="24"/>
          <w:lang w:eastAsia="ru-RU"/>
        </w:rPr>
        <w:t xml:space="preserve">This increases the financial gap between parties. </w:t>
      </w:r>
      <w:r w:rsidR="00C000BC" w:rsidRPr="00BD6815">
        <w:rPr>
          <w:rFonts w:ascii="Times New Roman" w:hAnsi="Times New Roman"/>
          <w:sz w:val="24"/>
          <w:szCs w:val="24"/>
          <w:lang w:eastAsia="ru-RU"/>
        </w:rPr>
        <w:t xml:space="preserve">According to the report, ruling party's revenues in 2016 was 7 times of total revenues of all other parties. Funding from the state budget constitute to all or majority of revenues of political parties. 30 out of 55 registered parties reported 0 revenues in 2016, while 10 has not submitted their reports. </w:t>
      </w:r>
      <w:r w:rsidR="00DF37FC" w:rsidRPr="00BD6815">
        <w:rPr>
          <w:rFonts w:ascii="Times New Roman" w:hAnsi="Times New Roman"/>
          <w:sz w:val="24"/>
          <w:szCs w:val="24"/>
          <w:lang w:eastAsia="ru-RU"/>
        </w:rPr>
        <w:t xml:space="preserve">Only four parties that are not represented in the parliament and therefore not recipients of funding from the state budget reported some revenues, albeit very in a very limited amount. The total revenue of these four parties was around 10,000 </w:t>
      </w:r>
      <w:proofErr w:type="spellStart"/>
      <w:r w:rsidR="00DF37FC" w:rsidRPr="00BD6815">
        <w:rPr>
          <w:rFonts w:ascii="Times New Roman" w:hAnsi="Times New Roman"/>
          <w:sz w:val="24"/>
          <w:szCs w:val="24"/>
          <w:lang w:eastAsia="ru-RU"/>
        </w:rPr>
        <w:t>manat</w:t>
      </w:r>
      <w:proofErr w:type="spellEnd"/>
      <w:r w:rsidR="00DF37FC" w:rsidRPr="00BD6815">
        <w:rPr>
          <w:rFonts w:ascii="Times New Roman" w:hAnsi="Times New Roman"/>
          <w:sz w:val="24"/>
          <w:szCs w:val="24"/>
          <w:lang w:eastAsia="ru-RU"/>
        </w:rPr>
        <w:t xml:space="preserve"> ($6,000).</w:t>
      </w:r>
    </w:p>
    <w:p w:rsidR="00DF37FC" w:rsidRPr="00BD6815" w:rsidRDefault="00157C3C"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 xml:space="preserve">In-kind public support such as free airtime on public television and radio comes with stringent conditions which </w:t>
      </w:r>
      <w:r w:rsidR="009826DA" w:rsidRPr="00BD6815">
        <w:rPr>
          <w:rFonts w:ascii="Times New Roman" w:hAnsi="Times New Roman"/>
          <w:sz w:val="24"/>
          <w:szCs w:val="24"/>
          <w:lang w:eastAsia="ru-RU"/>
        </w:rPr>
        <w:t xml:space="preserve">allows for excluding opposition parties from benefiting the support. </w:t>
      </w:r>
      <w:r w:rsidRPr="00BD6815">
        <w:rPr>
          <w:rFonts w:ascii="Times New Roman" w:hAnsi="Times New Roman"/>
          <w:sz w:val="24"/>
          <w:szCs w:val="24"/>
          <w:lang w:eastAsia="ru-RU"/>
        </w:rPr>
        <w:t xml:space="preserve">Only the ruling party </w:t>
      </w:r>
      <w:r w:rsidR="009826DA" w:rsidRPr="00BD6815">
        <w:rPr>
          <w:rFonts w:ascii="Times New Roman" w:hAnsi="Times New Roman"/>
          <w:sz w:val="24"/>
          <w:szCs w:val="24"/>
          <w:lang w:eastAsia="ru-RU"/>
        </w:rPr>
        <w:t xml:space="preserve">has </w:t>
      </w:r>
      <w:r w:rsidRPr="00BD6815">
        <w:rPr>
          <w:rFonts w:ascii="Times New Roman" w:hAnsi="Times New Roman"/>
          <w:sz w:val="24"/>
          <w:szCs w:val="24"/>
          <w:lang w:eastAsia="ru-RU"/>
        </w:rPr>
        <w:t xml:space="preserve">succeeded to qualify for the free airtime </w:t>
      </w:r>
      <w:r w:rsidR="009826DA" w:rsidRPr="00BD6815">
        <w:rPr>
          <w:rFonts w:ascii="Times New Roman" w:hAnsi="Times New Roman"/>
          <w:sz w:val="24"/>
          <w:szCs w:val="24"/>
          <w:lang w:eastAsia="ru-RU"/>
        </w:rPr>
        <w:t xml:space="preserve">since 2005. </w:t>
      </w:r>
      <w:r w:rsidR="00DF37FC" w:rsidRPr="00BD6815">
        <w:rPr>
          <w:rFonts w:ascii="Times New Roman" w:hAnsi="Times New Roman"/>
          <w:sz w:val="24"/>
          <w:szCs w:val="24"/>
          <w:lang w:eastAsia="ru-RU"/>
        </w:rPr>
        <w:t xml:space="preserve">Elimination of public funding for the election campaign has had further negative impact on situation of political parties ultimately hindering political participation. </w:t>
      </w:r>
    </w:p>
    <w:p w:rsidR="00A368D9" w:rsidRPr="00BD6815" w:rsidRDefault="00DF37FC" w:rsidP="00BB1874">
      <w:pPr>
        <w:autoSpaceDE w:val="0"/>
        <w:autoSpaceDN w:val="0"/>
        <w:adjustRightInd w:val="0"/>
        <w:spacing w:before="120" w:after="120" w:line="240" w:lineRule="auto"/>
        <w:jc w:val="both"/>
        <w:rPr>
          <w:rFonts w:ascii="Times New Roman" w:hAnsi="Times New Roman"/>
          <w:sz w:val="24"/>
          <w:szCs w:val="24"/>
          <w:lang w:eastAsia="ru-RU"/>
        </w:rPr>
      </w:pPr>
      <w:r w:rsidRPr="00BD6815">
        <w:rPr>
          <w:rFonts w:ascii="Times New Roman" w:hAnsi="Times New Roman"/>
          <w:sz w:val="24"/>
          <w:szCs w:val="24"/>
          <w:lang w:eastAsia="ru-RU"/>
        </w:rPr>
        <w:t>The CEC has been consistent in publishing financial reports of political parties, but has failed to do the same with regard to the reports related to the election campaigns. This is at odds with national legislation and international standards.</w:t>
      </w:r>
      <w:r w:rsidR="00A368D9" w:rsidRPr="00BD6815">
        <w:rPr>
          <w:rFonts w:ascii="Times New Roman" w:hAnsi="Times New Roman"/>
          <w:sz w:val="24"/>
          <w:szCs w:val="24"/>
          <w:lang w:eastAsia="ru-RU"/>
        </w:rPr>
        <w:t xml:space="preserve"> </w:t>
      </w:r>
    </w:p>
    <w:p w:rsidR="00BF6804" w:rsidRDefault="00DF37FC" w:rsidP="00BF6804">
      <w:pPr>
        <w:autoSpaceDE w:val="0"/>
        <w:autoSpaceDN w:val="0"/>
        <w:adjustRightInd w:val="0"/>
        <w:spacing w:before="120" w:after="120" w:line="240" w:lineRule="auto"/>
        <w:jc w:val="both"/>
        <w:rPr>
          <w:rFonts w:ascii="Sylfaen" w:hAnsi="Sylfaen"/>
          <w:sz w:val="24"/>
          <w:szCs w:val="24"/>
          <w:lang w:val="ka-GE" w:eastAsia="ru-RU"/>
        </w:rPr>
      </w:pPr>
      <w:r w:rsidRPr="00BD6815">
        <w:rPr>
          <w:rFonts w:ascii="Times New Roman" w:hAnsi="Times New Roman"/>
          <w:sz w:val="24"/>
          <w:szCs w:val="24"/>
          <w:lang w:eastAsia="ru-RU"/>
        </w:rPr>
        <w:t>Abuse of administrative resources, particularly during elections</w:t>
      </w:r>
      <w:r w:rsidR="007400BB">
        <w:rPr>
          <w:rFonts w:ascii="Times New Roman" w:hAnsi="Times New Roman"/>
          <w:sz w:val="24"/>
          <w:szCs w:val="24"/>
          <w:lang w:eastAsia="ru-RU"/>
        </w:rPr>
        <w:t>,</w:t>
      </w:r>
      <w:r w:rsidRPr="00BD6815">
        <w:rPr>
          <w:rFonts w:ascii="Times New Roman" w:hAnsi="Times New Roman"/>
          <w:sz w:val="24"/>
          <w:szCs w:val="24"/>
          <w:lang w:eastAsia="ru-RU"/>
        </w:rPr>
        <w:t xml:space="preserve"> remain</w:t>
      </w:r>
      <w:r w:rsidR="007400BB">
        <w:rPr>
          <w:rFonts w:ascii="Times New Roman" w:hAnsi="Times New Roman"/>
          <w:sz w:val="24"/>
          <w:szCs w:val="24"/>
          <w:lang w:eastAsia="ru-RU"/>
        </w:rPr>
        <w:t>s</w:t>
      </w:r>
      <w:r w:rsidRPr="00BD6815">
        <w:rPr>
          <w:rFonts w:ascii="Times New Roman" w:hAnsi="Times New Roman"/>
          <w:sz w:val="24"/>
          <w:szCs w:val="24"/>
          <w:lang w:eastAsia="ru-RU"/>
        </w:rPr>
        <w:t xml:space="preserve"> a significant problem in Azerbaijan. </w:t>
      </w:r>
      <w:r w:rsidR="00BD6815" w:rsidRPr="00BD6815">
        <w:rPr>
          <w:rFonts w:ascii="Times New Roman" w:hAnsi="Times New Roman"/>
          <w:sz w:val="24"/>
          <w:szCs w:val="24"/>
          <w:lang w:eastAsia="ru-RU"/>
        </w:rPr>
        <w:t xml:space="preserve">Although, the country's legislation explicitly bans the involvement of state and municipal officials in electoral process in favour of any candidate and entails criminal liability for abuse of power, the enforcement of the legislation remains short of the international standards. </w:t>
      </w:r>
      <w:r w:rsidRPr="00BD6815">
        <w:rPr>
          <w:rFonts w:ascii="Times New Roman" w:hAnsi="Times New Roman"/>
          <w:sz w:val="24"/>
          <w:szCs w:val="24"/>
          <w:lang w:eastAsia="ru-RU"/>
        </w:rPr>
        <w:t xml:space="preserve">Authorities have not </w:t>
      </w:r>
      <w:r w:rsidR="00B765A1" w:rsidRPr="00BD6815">
        <w:rPr>
          <w:rFonts w:ascii="Times New Roman" w:hAnsi="Times New Roman"/>
          <w:sz w:val="24"/>
          <w:szCs w:val="24"/>
          <w:lang w:eastAsia="ru-RU"/>
        </w:rPr>
        <w:t xml:space="preserve">put forth </w:t>
      </w:r>
      <w:r w:rsidRPr="00BD6815">
        <w:rPr>
          <w:rFonts w:ascii="Times New Roman" w:hAnsi="Times New Roman"/>
          <w:sz w:val="24"/>
          <w:szCs w:val="24"/>
          <w:lang w:eastAsia="ru-RU"/>
        </w:rPr>
        <w:t>adequate</w:t>
      </w:r>
      <w:r w:rsidR="00B765A1" w:rsidRPr="00BD6815">
        <w:rPr>
          <w:rFonts w:ascii="Times New Roman" w:hAnsi="Times New Roman"/>
          <w:sz w:val="24"/>
          <w:szCs w:val="24"/>
          <w:lang w:eastAsia="ru-RU"/>
        </w:rPr>
        <w:t xml:space="preserve"> efforts to</w:t>
      </w:r>
      <w:r w:rsidRPr="00BD6815">
        <w:rPr>
          <w:rFonts w:ascii="Times New Roman" w:hAnsi="Times New Roman"/>
          <w:sz w:val="24"/>
          <w:szCs w:val="24"/>
          <w:lang w:eastAsia="ru-RU"/>
        </w:rPr>
        <w:t xml:space="preserve"> address concerns and recommendations of the ODIHR. Despite evidences and reports of such cases, particularly using employees of budget funded organizations (like schools and hospitals)</w:t>
      </w:r>
      <w:proofErr w:type="gramStart"/>
      <w:r w:rsidRPr="00BD6815">
        <w:rPr>
          <w:rFonts w:ascii="Times New Roman" w:hAnsi="Times New Roman"/>
          <w:sz w:val="24"/>
          <w:szCs w:val="24"/>
          <w:lang w:eastAsia="ru-RU"/>
        </w:rPr>
        <w:t>,</w:t>
      </w:r>
      <w:proofErr w:type="gramEnd"/>
      <w:r w:rsidRPr="00BD6815">
        <w:rPr>
          <w:rFonts w:ascii="Times New Roman" w:hAnsi="Times New Roman"/>
          <w:sz w:val="24"/>
          <w:szCs w:val="24"/>
          <w:lang w:eastAsia="ru-RU"/>
        </w:rPr>
        <w:t xml:space="preserve"> authorities have not carried out proper investigation</w:t>
      </w:r>
      <w:r w:rsidR="00FB4E9E" w:rsidRPr="00BD6815">
        <w:rPr>
          <w:rFonts w:ascii="Times New Roman" w:hAnsi="Times New Roman"/>
          <w:sz w:val="24"/>
          <w:szCs w:val="24"/>
          <w:lang w:eastAsia="ru-RU"/>
        </w:rPr>
        <w:t>.</w:t>
      </w:r>
      <w:r w:rsidRPr="00BD6815">
        <w:rPr>
          <w:rFonts w:ascii="Times New Roman" w:hAnsi="Times New Roman"/>
          <w:sz w:val="24"/>
          <w:szCs w:val="24"/>
          <w:lang w:eastAsia="ru-RU"/>
        </w:rPr>
        <w:t xml:space="preserve"> </w:t>
      </w:r>
    </w:p>
    <w:p w:rsidR="000F6596" w:rsidRDefault="000F6596" w:rsidP="00BF6804">
      <w:pPr>
        <w:autoSpaceDE w:val="0"/>
        <w:autoSpaceDN w:val="0"/>
        <w:adjustRightInd w:val="0"/>
        <w:spacing w:before="120" w:after="120" w:line="240" w:lineRule="auto"/>
        <w:jc w:val="both"/>
        <w:rPr>
          <w:rFonts w:ascii="Sylfaen" w:hAnsi="Sylfaen"/>
          <w:sz w:val="24"/>
          <w:szCs w:val="24"/>
          <w:lang w:val="de-DE" w:eastAsia="ru-RU"/>
        </w:rPr>
      </w:pPr>
    </w:p>
    <w:p w:rsidR="0059509E" w:rsidRDefault="0059509E" w:rsidP="00BF6804">
      <w:pPr>
        <w:autoSpaceDE w:val="0"/>
        <w:autoSpaceDN w:val="0"/>
        <w:adjustRightInd w:val="0"/>
        <w:spacing w:before="120" w:after="120" w:line="240" w:lineRule="auto"/>
        <w:jc w:val="both"/>
        <w:rPr>
          <w:rFonts w:ascii="Sylfaen" w:hAnsi="Sylfaen"/>
          <w:sz w:val="24"/>
          <w:szCs w:val="24"/>
          <w:lang w:val="de-DE" w:eastAsia="ru-RU"/>
        </w:rPr>
      </w:pPr>
    </w:p>
    <w:p w:rsidR="0059509E" w:rsidRDefault="0059509E" w:rsidP="00BF6804">
      <w:pPr>
        <w:autoSpaceDE w:val="0"/>
        <w:autoSpaceDN w:val="0"/>
        <w:adjustRightInd w:val="0"/>
        <w:spacing w:before="120" w:after="120" w:line="240" w:lineRule="auto"/>
        <w:jc w:val="both"/>
        <w:rPr>
          <w:rFonts w:ascii="Sylfaen" w:hAnsi="Sylfaen"/>
          <w:sz w:val="24"/>
          <w:szCs w:val="24"/>
          <w:lang w:val="de-DE" w:eastAsia="ru-RU"/>
        </w:rPr>
      </w:pPr>
    </w:p>
    <w:p w:rsidR="0059509E" w:rsidRDefault="0059509E" w:rsidP="00BF6804">
      <w:pPr>
        <w:autoSpaceDE w:val="0"/>
        <w:autoSpaceDN w:val="0"/>
        <w:adjustRightInd w:val="0"/>
        <w:spacing w:before="120" w:after="120" w:line="240" w:lineRule="auto"/>
        <w:jc w:val="both"/>
        <w:rPr>
          <w:rFonts w:ascii="Sylfaen" w:hAnsi="Sylfaen"/>
          <w:sz w:val="24"/>
          <w:szCs w:val="24"/>
          <w:lang w:val="de-DE" w:eastAsia="ru-RU"/>
        </w:rPr>
      </w:pPr>
    </w:p>
    <w:p w:rsidR="0059509E" w:rsidRDefault="0059509E" w:rsidP="00BF6804">
      <w:pPr>
        <w:autoSpaceDE w:val="0"/>
        <w:autoSpaceDN w:val="0"/>
        <w:adjustRightInd w:val="0"/>
        <w:spacing w:before="120" w:after="120" w:line="240" w:lineRule="auto"/>
        <w:jc w:val="both"/>
        <w:rPr>
          <w:rFonts w:ascii="Sylfaen" w:hAnsi="Sylfaen"/>
          <w:sz w:val="24"/>
          <w:szCs w:val="24"/>
          <w:lang w:val="de-DE" w:eastAsia="ru-RU"/>
        </w:rPr>
      </w:pPr>
    </w:p>
    <w:p w:rsidR="0059509E" w:rsidRDefault="0059509E" w:rsidP="00BF6804">
      <w:pPr>
        <w:autoSpaceDE w:val="0"/>
        <w:autoSpaceDN w:val="0"/>
        <w:adjustRightInd w:val="0"/>
        <w:spacing w:before="120" w:after="120" w:line="240" w:lineRule="auto"/>
        <w:jc w:val="both"/>
        <w:rPr>
          <w:rFonts w:ascii="Sylfaen" w:hAnsi="Sylfaen"/>
          <w:sz w:val="24"/>
          <w:szCs w:val="24"/>
          <w:lang w:val="ka-GE" w:eastAsia="ru-RU"/>
        </w:rPr>
      </w:pPr>
    </w:p>
    <w:p w:rsidR="00717D87" w:rsidRDefault="00717D87" w:rsidP="00BF6804">
      <w:pPr>
        <w:autoSpaceDE w:val="0"/>
        <w:autoSpaceDN w:val="0"/>
        <w:adjustRightInd w:val="0"/>
        <w:spacing w:before="120" w:after="120" w:line="240" w:lineRule="auto"/>
        <w:jc w:val="both"/>
        <w:rPr>
          <w:rFonts w:ascii="Sylfaen" w:hAnsi="Sylfaen"/>
          <w:sz w:val="24"/>
          <w:szCs w:val="24"/>
          <w:lang w:val="ka-GE" w:eastAsia="ru-RU"/>
        </w:rPr>
      </w:pPr>
    </w:p>
    <w:p w:rsidR="00717D87" w:rsidRPr="00717D87" w:rsidRDefault="00717D87" w:rsidP="00BF6804">
      <w:pPr>
        <w:autoSpaceDE w:val="0"/>
        <w:autoSpaceDN w:val="0"/>
        <w:adjustRightInd w:val="0"/>
        <w:spacing w:before="120" w:after="120" w:line="240" w:lineRule="auto"/>
        <w:jc w:val="both"/>
        <w:rPr>
          <w:rFonts w:ascii="Sylfaen" w:hAnsi="Sylfaen"/>
          <w:sz w:val="24"/>
          <w:szCs w:val="24"/>
          <w:lang w:val="ka-GE" w:eastAsia="ru-RU"/>
        </w:rPr>
      </w:pPr>
    </w:p>
    <w:p w:rsidR="0059509E" w:rsidRPr="0059509E" w:rsidRDefault="0059509E" w:rsidP="00BF6804">
      <w:pPr>
        <w:autoSpaceDE w:val="0"/>
        <w:autoSpaceDN w:val="0"/>
        <w:adjustRightInd w:val="0"/>
        <w:spacing w:before="120" w:after="120" w:line="240" w:lineRule="auto"/>
        <w:jc w:val="both"/>
        <w:rPr>
          <w:rFonts w:ascii="Sylfaen" w:hAnsi="Sylfaen"/>
          <w:sz w:val="24"/>
          <w:szCs w:val="24"/>
          <w:lang w:val="de-DE" w:eastAsia="ru-RU"/>
        </w:rPr>
      </w:pPr>
    </w:p>
    <w:p w:rsidR="00A368D9" w:rsidRDefault="00BF6804" w:rsidP="00A368D9">
      <w:pPr>
        <w:autoSpaceDE w:val="0"/>
        <w:autoSpaceDN w:val="0"/>
        <w:adjustRightInd w:val="0"/>
        <w:spacing w:after="0" w:line="240" w:lineRule="auto"/>
        <w:jc w:val="both"/>
        <w:rPr>
          <w:rFonts w:ascii="Times New Roman" w:hAnsi="Times New Roman"/>
          <w:b/>
          <w:sz w:val="24"/>
          <w:szCs w:val="24"/>
          <w:lang w:eastAsia="ru-RU"/>
        </w:rPr>
      </w:pPr>
      <w:r w:rsidRPr="00BD6815">
        <w:rPr>
          <w:rFonts w:ascii="Times New Roman" w:hAnsi="Times New Roman"/>
          <w:b/>
          <w:sz w:val="24"/>
          <w:szCs w:val="24"/>
          <w:lang w:eastAsia="ru-RU"/>
        </w:rPr>
        <w:lastRenderedPageBreak/>
        <w:t>RECOMMENDATIONS</w:t>
      </w:r>
    </w:p>
    <w:p w:rsidR="00D2795D" w:rsidRPr="00BD6815" w:rsidRDefault="00D2795D" w:rsidP="00A368D9">
      <w:pPr>
        <w:autoSpaceDE w:val="0"/>
        <w:autoSpaceDN w:val="0"/>
        <w:adjustRightInd w:val="0"/>
        <w:spacing w:after="0" w:line="240" w:lineRule="auto"/>
        <w:jc w:val="both"/>
        <w:rPr>
          <w:rFonts w:ascii="Times New Roman" w:hAnsi="Times New Roman"/>
          <w:b/>
          <w:sz w:val="24"/>
          <w:szCs w:val="24"/>
          <w:lang w:eastAsia="ru-RU"/>
        </w:rPr>
      </w:pPr>
    </w:p>
    <w:p w:rsidR="00B765A1" w:rsidRPr="00BD6815" w:rsidRDefault="00B765A1" w:rsidP="0073111F">
      <w:pPr>
        <w:autoSpaceDE w:val="0"/>
        <w:autoSpaceDN w:val="0"/>
        <w:adjustRightInd w:val="0"/>
        <w:spacing w:before="120" w:after="120" w:line="240" w:lineRule="auto"/>
        <w:jc w:val="both"/>
        <w:rPr>
          <w:rFonts w:ascii="Times New Roman" w:hAnsi="Times New Roman"/>
          <w:sz w:val="24"/>
          <w:szCs w:val="32"/>
          <w:lang w:eastAsia="ru-RU"/>
        </w:rPr>
      </w:pPr>
      <w:r w:rsidRPr="00BD6815">
        <w:rPr>
          <w:rFonts w:ascii="Times New Roman" w:hAnsi="Times New Roman"/>
          <w:sz w:val="24"/>
          <w:szCs w:val="32"/>
          <w:lang w:eastAsia="ru-RU"/>
        </w:rPr>
        <w:t>The report presents following recommendations to Azerbaijani authorities in order to improve the legislation and practice with regards to political party and election financing:</w:t>
      </w:r>
    </w:p>
    <w:p w:rsidR="00B765A1" w:rsidRPr="00BD6815" w:rsidRDefault="00B765A1" w:rsidP="0073111F">
      <w:pPr>
        <w:numPr>
          <w:ilvl w:val="0"/>
          <w:numId w:val="17"/>
        </w:numPr>
        <w:autoSpaceDE w:val="0"/>
        <w:autoSpaceDN w:val="0"/>
        <w:adjustRightInd w:val="0"/>
        <w:spacing w:before="120" w:after="120" w:line="240" w:lineRule="auto"/>
        <w:ind w:left="714" w:hanging="357"/>
        <w:jc w:val="both"/>
        <w:rPr>
          <w:rFonts w:ascii="Times New Roman" w:hAnsi="Times New Roman"/>
          <w:sz w:val="24"/>
          <w:szCs w:val="32"/>
          <w:lang w:eastAsia="ru-RU"/>
        </w:rPr>
      </w:pPr>
      <w:r w:rsidRPr="00BD6815">
        <w:rPr>
          <w:rFonts w:ascii="Times New Roman" w:hAnsi="Times New Roman"/>
          <w:sz w:val="24"/>
          <w:szCs w:val="24"/>
          <w:lang w:eastAsia="ru-RU"/>
        </w:rPr>
        <w:t>Ensure level-playing field for all political parties and forces guaranteeing competitive and non-discriminatory environment during and between the elections;</w:t>
      </w:r>
    </w:p>
    <w:p w:rsidR="00B765A1" w:rsidRPr="00BD6815" w:rsidRDefault="00B765A1" w:rsidP="0073111F">
      <w:pPr>
        <w:pStyle w:val="ListParagraph"/>
        <w:numPr>
          <w:ilvl w:val="0"/>
          <w:numId w:val="17"/>
        </w:numPr>
        <w:spacing w:before="120" w:after="120" w:line="240" w:lineRule="auto"/>
        <w:ind w:left="714" w:hanging="357"/>
        <w:contextualSpacing w:val="0"/>
        <w:jc w:val="both"/>
        <w:rPr>
          <w:rFonts w:ascii="Times New Roman" w:hAnsi="Times New Roman"/>
          <w:sz w:val="24"/>
          <w:szCs w:val="24"/>
        </w:rPr>
      </w:pPr>
      <w:r w:rsidRPr="00BD6815">
        <w:rPr>
          <w:rFonts w:ascii="Times New Roman" w:hAnsi="Times New Roman"/>
          <w:sz w:val="24"/>
          <w:szCs w:val="24"/>
        </w:rPr>
        <w:t>Create necessary conditions for civil society and media to operate freely and independently allowing it to fulfil its duties as watchdog over political party and election campaign financing.</w:t>
      </w:r>
    </w:p>
    <w:p w:rsidR="00B765A1" w:rsidRPr="00BD6815" w:rsidRDefault="00B765A1" w:rsidP="0073111F">
      <w:pPr>
        <w:numPr>
          <w:ilvl w:val="0"/>
          <w:numId w:val="17"/>
        </w:numPr>
        <w:autoSpaceDE w:val="0"/>
        <w:autoSpaceDN w:val="0"/>
        <w:adjustRightInd w:val="0"/>
        <w:spacing w:before="120" w:after="120" w:line="240" w:lineRule="auto"/>
        <w:ind w:left="714" w:hanging="357"/>
        <w:jc w:val="both"/>
        <w:rPr>
          <w:rFonts w:ascii="Times New Roman" w:hAnsi="Times New Roman"/>
          <w:sz w:val="24"/>
          <w:szCs w:val="24"/>
          <w:lang w:eastAsia="ru-RU"/>
        </w:rPr>
      </w:pPr>
      <w:r w:rsidRPr="00BD6815">
        <w:rPr>
          <w:rFonts w:ascii="Times New Roman" w:hAnsi="Times New Roman"/>
          <w:sz w:val="24"/>
          <w:szCs w:val="24"/>
          <w:lang w:eastAsia="ru-RU"/>
        </w:rPr>
        <w:t xml:space="preserve">Take necessary measures in order to enhance independence of the monitoring authority </w:t>
      </w:r>
      <w:r w:rsidRPr="00BD6815">
        <w:rPr>
          <w:rFonts w:ascii="Times New Roman" w:hAnsi="Times New Roman"/>
          <w:sz w:val="24"/>
          <w:szCs w:val="24"/>
          <w:lang w:eastAsia="ru-RU"/>
        </w:rPr>
        <w:sym w:font="Symbol" w:char="F02D"/>
      </w:r>
      <w:r w:rsidRPr="00BD6815">
        <w:rPr>
          <w:rFonts w:ascii="Times New Roman" w:hAnsi="Times New Roman"/>
          <w:sz w:val="24"/>
          <w:szCs w:val="24"/>
          <w:lang w:eastAsia="ru-RU"/>
        </w:rPr>
        <w:t xml:space="preserve"> the CEC</w:t>
      </w:r>
      <w:r w:rsidR="0073111F" w:rsidRPr="00BD6815">
        <w:rPr>
          <w:rFonts w:ascii="Times New Roman" w:hAnsi="Times New Roman"/>
          <w:sz w:val="24"/>
          <w:szCs w:val="24"/>
          <w:lang w:eastAsia="ru-RU"/>
        </w:rPr>
        <w:t xml:space="preserve"> </w:t>
      </w:r>
      <w:r w:rsidR="0073111F" w:rsidRPr="00BD6815">
        <w:rPr>
          <w:rFonts w:ascii="Times New Roman" w:hAnsi="Times New Roman"/>
          <w:sz w:val="24"/>
          <w:szCs w:val="24"/>
          <w:lang w:eastAsia="ru-RU"/>
        </w:rPr>
        <w:sym w:font="Symbol" w:char="F02D"/>
      </w:r>
      <w:r w:rsidRPr="00BD6815">
        <w:rPr>
          <w:rFonts w:ascii="Times New Roman" w:hAnsi="Times New Roman"/>
          <w:sz w:val="24"/>
          <w:szCs w:val="24"/>
          <w:lang w:eastAsia="ru-RU"/>
        </w:rPr>
        <w:t xml:space="preserve"> and to promote more pro-active approach to monitoring and investigation;</w:t>
      </w:r>
    </w:p>
    <w:p w:rsidR="00B765A1" w:rsidRPr="00BD6815" w:rsidRDefault="00B765A1" w:rsidP="0073111F">
      <w:pPr>
        <w:numPr>
          <w:ilvl w:val="0"/>
          <w:numId w:val="17"/>
        </w:numPr>
        <w:autoSpaceDE w:val="0"/>
        <w:autoSpaceDN w:val="0"/>
        <w:adjustRightInd w:val="0"/>
        <w:spacing w:before="120" w:after="120" w:line="240" w:lineRule="auto"/>
        <w:ind w:left="714" w:hanging="357"/>
        <w:jc w:val="both"/>
        <w:rPr>
          <w:rFonts w:ascii="Times New Roman" w:hAnsi="Times New Roman"/>
          <w:sz w:val="24"/>
          <w:szCs w:val="24"/>
          <w:lang w:eastAsia="ru-RU"/>
        </w:rPr>
      </w:pPr>
      <w:r w:rsidRPr="00BD6815">
        <w:rPr>
          <w:rFonts w:ascii="Times New Roman" w:hAnsi="Times New Roman"/>
          <w:sz w:val="24"/>
          <w:szCs w:val="24"/>
          <w:lang w:eastAsia="ru-RU"/>
        </w:rPr>
        <w:t>Address recommendations of the ODIHR on composition of election commissions including the composition of the Central Election Commission and ensure more equitable division of seats;</w:t>
      </w:r>
    </w:p>
    <w:p w:rsidR="0073111F" w:rsidRPr="00BD6815" w:rsidRDefault="0073111F" w:rsidP="0073111F">
      <w:pPr>
        <w:pStyle w:val="ListParagraph"/>
        <w:numPr>
          <w:ilvl w:val="0"/>
          <w:numId w:val="17"/>
        </w:numPr>
        <w:spacing w:before="120"/>
        <w:contextualSpacing w:val="0"/>
        <w:rPr>
          <w:rFonts w:ascii="Times New Roman" w:hAnsi="Times New Roman"/>
          <w:sz w:val="24"/>
          <w:szCs w:val="24"/>
          <w:lang w:eastAsia="ru-RU"/>
        </w:rPr>
      </w:pPr>
      <w:r w:rsidRPr="00BD6815">
        <w:rPr>
          <w:rFonts w:ascii="Times New Roman" w:hAnsi="Times New Roman"/>
          <w:sz w:val="24"/>
          <w:szCs w:val="24"/>
          <w:lang w:eastAsia="ru-RU"/>
        </w:rPr>
        <w:t>Restore opportunity for financing of election campaign from the state budget;</w:t>
      </w:r>
    </w:p>
    <w:p w:rsidR="0073111F" w:rsidRPr="00BD6815" w:rsidRDefault="0073111F" w:rsidP="0073111F">
      <w:pPr>
        <w:numPr>
          <w:ilvl w:val="0"/>
          <w:numId w:val="17"/>
        </w:numPr>
        <w:autoSpaceDE w:val="0"/>
        <w:autoSpaceDN w:val="0"/>
        <w:adjustRightInd w:val="0"/>
        <w:spacing w:before="120" w:after="120" w:line="240" w:lineRule="auto"/>
        <w:ind w:left="714" w:hanging="357"/>
        <w:jc w:val="both"/>
        <w:rPr>
          <w:rFonts w:ascii="Times New Roman" w:hAnsi="Times New Roman"/>
          <w:sz w:val="24"/>
          <w:szCs w:val="24"/>
          <w:lang w:eastAsia="ru-RU"/>
        </w:rPr>
      </w:pPr>
      <w:r w:rsidRPr="00BD6815">
        <w:rPr>
          <w:rFonts w:ascii="Times New Roman" w:hAnsi="Times New Roman"/>
          <w:sz w:val="24"/>
          <w:szCs w:val="24"/>
          <w:lang w:eastAsia="ru-RU"/>
        </w:rPr>
        <w:t>Introduce regulation of membership fees for political parties and develop  concrete mechanisms on monitoring of in-kind contributions in line with recommendations of the Venice Commission and the OSCE/ODIHR;</w:t>
      </w:r>
    </w:p>
    <w:p w:rsidR="00B765A1" w:rsidRPr="00BD6815" w:rsidRDefault="0073111F" w:rsidP="0073111F">
      <w:pPr>
        <w:numPr>
          <w:ilvl w:val="0"/>
          <w:numId w:val="17"/>
        </w:numPr>
        <w:autoSpaceDE w:val="0"/>
        <w:autoSpaceDN w:val="0"/>
        <w:adjustRightInd w:val="0"/>
        <w:spacing w:before="120" w:after="120" w:line="240" w:lineRule="auto"/>
        <w:ind w:left="714" w:hanging="357"/>
        <w:jc w:val="both"/>
        <w:rPr>
          <w:rFonts w:ascii="Times New Roman" w:hAnsi="Times New Roman"/>
          <w:sz w:val="24"/>
          <w:szCs w:val="24"/>
          <w:lang w:eastAsia="ru-RU"/>
        </w:rPr>
      </w:pPr>
      <w:r w:rsidRPr="00BD6815">
        <w:rPr>
          <w:rFonts w:ascii="Times New Roman" w:hAnsi="Times New Roman"/>
          <w:sz w:val="24"/>
          <w:szCs w:val="24"/>
          <w:lang w:eastAsia="ru-RU"/>
        </w:rPr>
        <w:t>Ensure the financial reports on election funds are published and accessible for public in timely manner;</w:t>
      </w:r>
    </w:p>
    <w:p w:rsidR="0073111F" w:rsidRPr="00BD6815" w:rsidRDefault="0073111F" w:rsidP="0073111F">
      <w:pPr>
        <w:numPr>
          <w:ilvl w:val="0"/>
          <w:numId w:val="17"/>
        </w:numPr>
        <w:autoSpaceDE w:val="0"/>
        <w:autoSpaceDN w:val="0"/>
        <w:adjustRightInd w:val="0"/>
        <w:spacing w:before="120" w:after="120" w:line="240" w:lineRule="auto"/>
        <w:ind w:left="714" w:hanging="357"/>
        <w:jc w:val="both"/>
        <w:rPr>
          <w:rFonts w:ascii="Times New Roman" w:hAnsi="Times New Roman"/>
          <w:sz w:val="24"/>
          <w:szCs w:val="24"/>
          <w:lang w:eastAsia="ru-RU"/>
        </w:rPr>
      </w:pPr>
      <w:r w:rsidRPr="00BD6815">
        <w:rPr>
          <w:rFonts w:ascii="Times New Roman" w:hAnsi="Times New Roman"/>
          <w:sz w:val="24"/>
          <w:szCs w:val="24"/>
          <w:lang w:eastAsia="ru-RU"/>
        </w:rPr>
        <w:t>Establish an online reporting system on the CEC's website (or any other platform) where standardized form could be used by all parties and candidates, and where additional documents such as receipts and invoices can be uploaded for further scrutiny;</w:t>
      </w:r>
    </w:p>
    <w:p w:rsidR="0073111F" w:rsidRDefault="0073111F" w:rsidP="0073111F">
      <w:pPr>
        <w:numPr>
          <w:ilvl w:val="0"/>
          <w:numId w:val="17"/>
        </w:numPr>
        <w:autoSpaceDE w:val="0"/>
        <w:autoSpaceDN w:val="0"/>
        <w:adjustRightInd w:val="0"/>
        <w:spacing w:before="120" w:after="120" w:line="240" w:lineRule="auto"/>
        <w:ind w:left="714" w:hanging="357"/>
        <w:jc w:val="both"/>
        <w:rPr>
          <w:rFonts w:ascii="Times New Roman" w:hAnsi="Times New Roman"/>
          <w:sz w:val="24"/>
          <w:szCs w:val="24"/>
          <w:lang w:eastAsia="ru-RU"/>
        </w:rPr>
      </w:pPr>
      <w:r w:rsidRPr="00BD6815">
        <w:rPr>
          <w:rFonts w:ascii="Times New Roman" w:hAnsi="Times New Roman"/>
          <w:sz w:val="24"/>
          <w:szCs w:val="24"/>
          <w:lang w:eastAsia="ru-RU"/>
        </w:rPr>
        <w:t>Investigate reports and allegations of abuse of administrative resources during election campaigns and hold persons responsible for violation of the law liable;</w:t>
      </w:r>
    </w:p>
    <w:p w:rsidR="003F1551" w:rsidRPr="005637E6" w:rsidRDefault="00BD6815" w:rsidP="00D2795D">
      <w:pPr>
        <w:numPr>
          <w:ilvl w:val="0"/>
          <w:numId w:val="17"/>
        </w:numPr>
        <w:autoSpaceDE w:val="0"/>
        <w:autoSpaceDN w:val="0"/>
        <w:adjustRightInd w:val="0"/>
        <w:spacing w:before="120" w:after="120" w:line="240" w:lineRule="auto"/>
        <w:ind w:left="714" w:hanging="357"/>
        <w:jc w:val="both"/>
        <w:rPr>
          <w:rFonts w:ascii="Times New Roman" w:hAnsi="Times New Roman"/>
          <w:sz w:val="24"/>
          <w:szCs w:val="24"/>
          <w:lang w:eastAsia="ru-RU"/>
        </w:rPr>
      </w:pPr>
      <w:r>
        <w:rPr>
          <w:rFonts w:ascii="Times New Roman" w:hAnsi="Times New Roman"/>
          <w:sz w:val="24"/>
          <w:szCs w:val="24"/>
          <w:lang w:eastAsia="ru-RU"/>
        </w:rPr>
        <w:t>Enforce the legislation on abuse of administrative resources and ensure equal opportunities for all c</w:t>
      </w:r>
      <w:r w:rsidR="00D2795D">
        <w:rPr>
          <w:rFonts w:ascii="Times New Roman" w:hAnsi="Times New Roman"/>
          <w:sz w:val="24"/>
          <w:szCs w:val="24"/>
          <w:lang w:eastAsia="ru-RU"/>
        </w:rPr>
        <w:t>andidates and political parties.</w:t>
      </w:r>
    </w:p>
    <w:p w:rsidR="003F1551" w:rsidRDefault="003F1551" w:rsidP="00D2795D">
      <w:pPr>
        <w:autoSpaceDE w:val="0"/>
        <w:autoSpaceDN w:val="0"/>
        <w:adjustRightInd w:val="0"/>
        <w:spacing w:before="120" w:after="120" w:line="240" w:lineRule="auto"/>
        <w:jc w:val="both"/>
        <w:rPr>
          <w:rFonts w:ascii="Times New Roman" w:hAnsi="Times New Roman"/>
          <w:sz w:val="24"/>
          <w:szCs w:val="24"/>
          <w:lang w:eastAsia="ru-RU"/>
        </w:rPr>
      </w:pPr>
    </w:p>
    <w:p w:rsidR="003F1551" w:rsidRDefault="003F1551" w:rsidP="00D2795D">
      <w:pPr>
        <w:autoSpaceDE w:val="0"/>
        <w:autoSpaceDN w:val="0"/>
        <w:adjustRightInd w:val="0"/>
        <w:spacing w:before="120" w:after="120" w:line="240" w:lineRule="auto"/>
        <w:jc w:val="both"/>
        <w:rPr>
          <w:rFonts w:ascii="Times New Roman" w:hAnsi="Times New Roman"/>
          <w:sz w:val="24"/>
          <w:szCs w:val="24"/>
          <w:lang w:eastAsia="ru-RU"/>
        </w:rPr>
      </w:pPr>
    </w:p>
    <w:p w:rsidR="003F1551" w:rsidRDefault="003F1551"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p>
    <w:p w:rsidR="00D5361D" w:rsidRPr="00D5361D" w:rsidRDefault="00D5361D" w:rsidP="00D2795D">
      <w:pPr>
        <w:autoSpaceDE w:val="0"/>
        <w:autoSpaceDN w:val="0"/>
        <w:adjustRightInd w:val="0"/>
        <w:spacing w:before="120" w:after="120" w:line="240" w:lineRule="auto"/>
        <w:jc w:val="both"/>
        <w:rPr>
          <w:rFonts w:ascii="Sylfaen" w:hAnsi="Sylfaen"/>
          <w:sz w:val="24"/>
          <w:szCs w:val="24"/>
          <w:lang w:val="ka-GE" w:eastAsia="ru-RU"/>
        </w:rPr>
      </w:pPr>
      <w:bookmarkStart w:id="0" w:name="_GoBack"/>
      <w:bookmarkEnd w:id="0"/>
    </w:p>
    <w:p w:rsidR="003F1551" w:rsidRDefault="003F1551" w:rsidP="00D2795D">
      <w:pPr>
        <w:autoSpaceDE w:val="0"/>
        <w:autoSpaceDN w:val="0"/>
        <w:adjustRightInd w:val="0"/>
        <w:spacing w:before="120" w:after="120" w:line="240" w:lineRule="auto"/>
        <w:jc w:val="both"/>
        <w:rPr>
          <w:rFonts w:ascii="Times New Roman" w:hAnsi="Times New Roman"/>
          <w:sz w:val="24"/>
          <w:szCs w:val="24"/>
          <w:lang w:eastAsia="ru-RU"/>
        </w:rPr>
      </w:pPr>
    </w:p>
    <w:p w:rsidR="00D90FDE" w:rsidRPr="00084DD7" w:rsidRDefault="00D90FDE" w:rsidP="00D90FDE">
      <w:pPr>
        <w:tabs>
          <w:tab w:val="center" w:pos="4230"/>
          <w:tab w:val="right" w:pos="9810"/>
        </w:tabs>
        <w:ind w:right="-572" w:hanging="360"/>
        <w:rPr>
          <w:rFonts w:eastAsia="Times New Roman"/>
          <w:b/>
          <w:noProof/>
          <w:snapToGrid w:val="0"/>
          <w:szCs w:val="20"/>
        </w:rPr>
      </w:pPr>
      <w:r>
        <w:rPr>
          <w:rFonts w:eastAsia="Times New Roman"/>
          <w:b/>
          <w:noProof/>
          <w:szCs w:val="20"/>
          <w:lang w:eastAsia="en-GB"/>
        </w:rPr>
        <w:drawing>
          <wp:inline distT="0" distB="0" distL="0" distR="0" wp14:anchorId="588D4140" wp14:editId="3E0D2145">
            <wp:extent cx="2085975" cy="809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809625"/>
                    </a:xfrm>
                    <a:prstGeom prst="rect">
                      <a:avLst/>
                    </a:prstGeom>
                    <a:noFill/>
                    <a:ln>
                      <a:noFill/>
                    </a:ln>
                  </pic:spPr>
                </pic:pic>
              </a:graphicData>
            </a:graphic>
          </wp:inline>
        </w:drawing>
      </w:r>
      <w:r>
        <w:rPr>
          <w:rFonts w:eastAsia="Times New Roman"/>
          <w:noProof/>
          <w:szCs w:val="20"/>
          <w:lang w:eastAsia="en-GB"/>
        </w:rPr>
        <w:drawing>
          <wp:inline distT="0" distB="0" distL="0" distR="0" wp14:anchorId="18C238EC" wp14:editId="6E0E7BF1">
            <wp:extent cx="2438400" cy="819150"/>
            <wp:effectExtent l="0" t="0" r="0" b="0"/>
            <wp:docPr id="8" name="Picture 8"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819150"/>
                    </a:xfrm>
                    <a:prstGeom prst="rect">
                      <a:avLst/>
                    </a:prstGeom>
                    <a:noFill/>
                    <a:ln>
                      <a:noFill/>
                    </a:ln>
                  </pic:spPr>
                </pic:pic>
              </a:graphicData>
            </a:graphic>
          </wp:inline>
        </w:drawing>
      </w:r>
      <w:r>
        <w:rPr>
          <w:b/>
          <w:noProof/>
          <w:lang w:eastAsia="en-GB"/>
        </w:rPr>
        <w:drawing>
          <wp:inline distT="0" distB="0" distL="0" distR="0" wp14:anchorId="3CB5ADF5" wp14:editId="20DF6EF1">
            <wp:extent cx="1981200" cy="542925"/>
            <wp:effectExtent l="0" t="0" r="0" b="0"/>
            <wp:docPr id="7" name="Picture 7" descr="download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TI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inline>
        </w:drawing>
      </w:r>
    </w:p>
    <w:p w:rsidR="00D90FDE" w:rsidRPr="00771444" w:rsidRDefault="00D90FDE" w:rsidP="00D90FDE">
      <w:pPr>
        <w:tabs>
          <w:tab w:val="center" w:pos="4230"/>
          <w:tab w:val="right" w:pos="9810"/>
        </w:tabs>
        <w:ind w:right="-572" w:hanging="166"/>
        <w:rPr>
          <w:rFonts w:eastAsia="Times New Roman"/>
          <w:b/>
          <w:snapToGrid w:val="0"/>
          <w:szCs w:val="20"/>
        </w:rPr>
      </w:pPr>
      <w:r>
        <w:rPr>
          <w:rFonts w:eastAsia="Times New Roman"/>
          <w:b/>
          <w:noProof/>
          <w:szCs w:val="20"/>
          <w:lang w:eastAsia="en-GB"/>
        </w:rPr>
        <w:drawing>
          <wp:inline distT="0" distB="0" distL="0" distR="0" wp14:anchorId="36AFCC59" wp14:editId="113F4009">
            <wp:extent cx="952500" cy="762000"/>
            <wp:effectExtent l="0" t="0" r="0" b="0"/>
            <wp:docPr id="6" name="Picture 6" descr="Description: https://pbs.twimg.com/profile_images/508345080625631232/o-vbVfo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pbs.twimg.com/profile_images/508345080625631232/o-vbVfo4.jpeg"/>
                    <pic:cNvPicPr>
                      <a:picLocks noChangeAspect="1" noChangeArrowheads="1"/>
                    </pic:cNvPicPr>
                  </pic:nvPicPr>
                  <pic:blipFill>
                    <a:blip r:embed="rId13" cstate="print">
                      <a:extLst>
                        <a:ext uri="{28A0092B-C50C-407E-A947-70E740481C1C}">
                          <a14:useLocalDpi xmlns:a14="http://schemas.microsoft.com/office/drawing/2010/main" val="0"/>
                        </a:ext>
                      </a:extLst>
                    </a:blip>
                    <a:srcRect l="7547" t="14151" r="5659" b="14151"/>
                    <a:stretch>
                      <a:fillRect/>
                    </a:stretch>
                  </pic:blipFill>
                  <pic:spPr bwMode="auto">
                    <a:xfrm>
                      <a:off x="0" y="0"/>
                      <a:ext cx="952500" cy="762000"/>
                    </a:xfrm>
                    <a:prstGeom prst="rect">
                      <a:avLst/>
                    </a:prstGeom>
                    <a:noFill/>
                    <a:ln>
                      <a:noFill/>
                    </a:ln>
                  </pic:spPr>
                </pic:pic>
              </a:graphicData>
            </a:graphic>
          </wp:inline>
        </w:drawing>
      </w:r>
      <w:r w:rsidRPr="00084DD7">
        <w:rPr>
          <w:rFonts w:eastAsia="Times New Roman"/>
          <w:b/>
          <w:noProof/>
          <w:snapToGrid w:val="0"/>
          <w:szCs w:val="20"/>
        </w:rPr>
        <w:t xml:space="preserve">          </w:t>
      </w:r>
      <w:r>
        <w:rPr>
          <w:rFonts w:eastAsia="Times New Roman"/>
          <w:b/>
          <w:noProof/>
          <w:szCs w:val="20"/>
          <w:lang w:eastAsia="en-GB"/>
        </w:rPr>
        <w:drawing>
          <wp:inline distT="0" distB="0" distL="0" distR="0" wp14:anchorId="42885A9B" wp14:editId="0408D523">
            <wp:extent cx="933450" cy="762000"/>
            <wp:effectExtent l="0" t="0" r="0" b="0"/>
            <wp:docPr id="5" name="Picture 5" descr="Description: http://www.netgazeti.ge/images/cms-image-000034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png" descr="Description: http://www.netgazeti.ge/images/cms-image-00003437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3450" cy="762000"/>
                    </a:xfrm>
                    <a:prstGeom prst="rect">
                      <a:avLst/>
                    </a:prstGeom>
                    <a:noFill/>
                    <a:ln>
                      <a:noFill/>
                    </a:ln>
                  </pic:spPr>
                </pic:pic>
              </a:graphicData>
            </a:graphic>
          </wp:inline>
        </w:drawing>
      </w:r>
      <w:r w:rsidRPr="00084DD7">
        <w:rPr>
          <w:rFonts w:eastAsia="Times New Roman"/>
          <w:b/>
          <w:noProof/>
          <w:snapToGrid w:val="0"/>
          <w:szCs w:val="20"/>
        </w:rPr>
        <w:t xml:space="preserve">             </w:t>
      </w:r>
      <w:r>
        <w:rPr>
          <w:rFonts w:ascii="Sylfaen" w:eastAsia="Times New Roman" w:hAnsi="Sylfaen"/>
          <w:b/>
          <w:smallCaps/>
          <w:noProof/>
          <w:color w:val="002060"/>
          <w:szCs w:val="40"/>
          <w:lang w:eastAsia="en-GB"/>
        </w:rPr>
        <w:drawing>
          <wp:inline distT="0" distB="0" distL="0" distR="0" wp14:anchorId="61E5579C" wp14:editId="365EE8D8">
            <wp:extent cx="809625" cy="800100"/>
            <wp:effectExtent l="0" t="0" r="0" b="0"/>
            <wp:docPr id="4" name="Picture 4" descr="Description: C:\Users\zaznaurashvili\Desktop\ლოგო-ax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zaznaurashvili\Desktop\ლოგო-axali.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inline>
        </w:drawing>
      </w:r>
      <w:r w:rsidRPr="00084DD7">
        <w:rPr>
          <w:rFonts w:eastAsia="Times New Roman"/>
          <w:b/>
          <w:noProof/>
          <w:snapToGrid w:val="0"/>
          <w:szCs w:val="20"/>
        </w:rPr>
        <w:t xml:space="preserve">                 </w:t>
      </w:r>
      <w:r>
        <w:rPr>
          <w:rFonts w:eastAsia="Times New Roman"/>
          <w:b/>
          <w:noProof/>
          <w:szCs w:val="20"/>
          <w:lang w:eastAsia="en-GB"/>
        </w:rPr>
        <w:drawing>
          <wp:inline distT="0" distB="0" distL="0" distR="0" wp14:anchorId="721772E5" wp14:editId="089F9F86">
            <wp:extent cx="723900" cy="714375"/>
            <wp:effectExtent l="0" t="0" r="0" b="0"/>
            <wp:docPr id="3" name="Picture 3" descr="Description: http://www.asef.org/images/stories/partners/270-International%20Id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Description: http://www.asef.org/images/stories/partners/270-International%20Ide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inline>
        </w:drawing>
      </w:r>
      <w:r w:rsidRPr="00084DD7">
        <w:rPr>
          <w:rFonts w:eastAsia="Times New Roman"/>
          <w:b/>
          <w:noProof/>
          <w:snapToGrid w:val="0"/>
        </w:rPr>
        <w:t xml:space="preserve">              </w:t>
      </w:r>
      <w:r>
        <w:rPr>
          <w:rFonts w:eastAsia="Times New Roman"/>
          <w:b/>
          <w:noProof/>
          <w:lang w:eastAsia="en-GB"/>
        </w:rPr>
        <w:drawing>
          <wp:inline distT="0" distB="0" distL="0" distR="0" wp14:anchorId="6EB7938B" wp14:editId="13A440B9">
            <wp:extent cx="819150" cy="819150"/>
            <wp:effectExtent l="0" t="0" r="0" b="0"/>
            <wp:docPr id="2" name="Picture 2" descr="Description: C:\Users\zaznaurashvili\Desktop\Blu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zaznaurashvili\Desktop\Blue PNG.PNG"/>
                    <pic:cNvPicPr>
                      <a:picLocks noChangeAspect="1" noChangeArrowheads="1"/>
                    </pic:cNvPicPr>
                  </pic:nvPicPr>
                  <pic:blipFill>
                    <a:blip r:embed="rId17" cstate="print">
                      <a:extLst>
                        <a:ext uri="{28A0092B-C50C-407E-A947-70E740481C1C}">
                          <a14:useLocalDpi xmlns:a14="http://schemas.microsoft.com/office/drawing/2010/main" val="0"/>
                        </a:ext>
                      </a:extLst>
                    </a:blip>
                    <a:srcRect l="10838" t="10863" r="12315" b="12115"/>
                    <a:stretch>
                      <a:fillRect/>
                    </a:stretch>
                  </pic:blipFill>
                  <pic:spPr bwMode="auto">
                    <a:xfrm>
                      <a:off x="0" y="0"/>
                      <a:ext cx="819150" cy="819150"/>
                    </a:xfrm>
                    <a:prstGeom prst="rect">
                      <a:avLst/>
                    </a:prstGeom>
                    <a:noFill/>
                    <a:ln>
                      <a:noFill/>
                    </a:ln>
                  </pic:spPr>
                </pic:pic>
              </a:graphicData>
            </a:graphic>
          </wp:inline>
        </w:drawing>
      </w:r>
    </w:p>
    <w:p w:rsidR="00D2795D" w:rsidRPr="00BD6815" w:rsidRDefault="00D2795D" w:rsidP="00BB1874">
      <w:pPr>
        <w:autoSpaceDE w:val="0"/>
        <w:autoSpaceDN w:val="0"/>
        <w:adjustRightInd w:val="0"/>
        <w:spacing w:after="0" w:line="240" w:lineRule="auto"/>
        <w:jc w:val="both"/>
        <w:rPr>
          <w:rFonts w:ascii="Times New Roman" w:hAnsi="Times New Roman"/>
          <w:sz w:val="20"/>
          <w:szCs w:val="23"/>
          <w:lang w:eastAsia="ru-RU"/>
        </w:rPr>
      </w:pPr>
    </w:p>
    <w:sectPr w:rsidR="00D2795D" w:rsidRPr="00BD6815" w:rsidSect="00D90FDE">
      <w:footerReference w:type="default" r:id="rId18"/>
      <w:headerReference w:type="first" r:id="rId19"/>
      <w:footerReference w:type="first" r:id="rId2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12" w:rsidRDefault="00816B12" w:rsidP="009B2F3B">
      <w:pPr>
        <w:spacing w:after="0" w:line="240" w:lineRule="auto"/>
      </w:pPr>
      <w:r>
        <w:separator/>
      </w:r>
    </w:p>
  </w:endnote>
  <w:endnote w:type="continuationSeparator" w:id="0">
    <w:p w:rsidR="00816B12" w:rsidRDefault="00816B12" w:rsidP="009B2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D6D" w:rsidRDefault="00D2795D" w:rsidP="002874C5">
    <w:pPr>
      <w:pStyle w:val="Footer"/>
      <w:jc w:val="center"/>
    </w:pPr>
    <w:r>
      <w:fldChar w:fldCharType="begin"/>
    </w:r>
    <w:r>
      <w:instrText xml:space="preserve"> PAGE   \* MERGEFORMAT </w:instrText>
    </w:r>
    <w:r>
      <w:fldChar w:fldCharType="separate"/>
    </w:r>
    <w:r w:rsidR="00D5361D">
      <w:rPr>
        <w:noProof/>
      </w:rPr>
      <w:t>13</w:t>
    </w:r>
    <w:r>
      <w:rPr>
        <w:noProof/>
      </w:rPr>
      <w:fldChar w:fldCharType="end"/>
    </w:r>
  </w:p>
  <w:p w:rsidR="00471D6D" w:rsidRDefault="00471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4C5" w:rsidRPr="002874C5" w:rsidRDefault="002874C5" w:rsidP="002874C5">
    <w:pPr>
      <w:pStyle w:val="Footer"/>
      <w:tabs>
        <w:tab w:val="clear" w:pos="4513"/>
        <w:tab w:val="clear" w:pos="9026"/>
        <w:tab w:val="left" w:pos="921"/>
      </w:tabs>
      <w:jc w:val="center"/>
      <w:rPr>
        <w:lang w:val="en-US"/>
      </w:rPr>
    </w:pPr>
    <w:r>
      <w:rPr>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12" w:rsidRDefault="00816B12" w:rsidP="009B2F3B">
      <w:pPr>
        <w:spacing w:after="0" w:line="240" w:lineRule="auto"/>
      </w:pPr>
      <w:r>
        <w:separator/>
      </w:r>
    </w:p>
  </w:footnote>
  <w:footnote w:type="continuationSeparator" w:id="0">
    <w:p w:rsidR="00816B12" w:rsidRDefault="00816B12" w:rsidP="009B2F3B">
      <w:pPr>
        <w:spacing w:after="0" w:line="240" w:lineRule="auto"/>
      </w:pPr>
      <w:r>
        <w:continuationSeparator/>
      </w:r>
    </w:p>
  </w:footnote>
  <w:footnote w:id="1">
    <w:p w:rsidR="005E538D" w:rsidRPr="000F6596" w:rsidRDefault="005E538D" w:rsidP="005E538D">
      <w:pPr>
        <w:contextualSpacing/>
        <w:rPr>
          <w:rFonts w:ascii="Times New Roman" w:eastAsia="Times New Roman" w:hAnsi="Times New Roman"/>
          <w:color w:val="000000"/>
          <w:sz w:val="20"/>
          <w:szCs w:val="20"/>
        </w:rPr>
      </w:pPr>
      <w:r w:rsidRPr="000F6596">
        <w:rPr>
          <w:rStyle w:val="FootnoteReference"/>
          <w:rFonts w:ascii="Times New Roman" w:hAnsi="Times New Roman"/>
        </w:rPr>
        <w:footnoteRef/>
      </w:r>
      <w:r w:rsidRPr="000F6596">
        <w:rPr>
          <w:rFonts w:ascii="Times New Roman" w:hAnsi="Times New Roman"/>
        </w:rPr>
        <w:t xml:space="preserve">  </w:t>
      </w:r>
      <w:r w:rsidRPr="000F6596">
        <w:rPr>
          <w:rFonts w:ascii="Times New Roman" w:eastAsia="Times New Roman" w:hAnsi="Times New Roman"/>
          <w:color w:val="000000"/>
          <w:sz w:val="20"/>
          <w:szCs w:val="20"/>
          <w:lang w:val="en-US"/>
        </w:rPr>
        <w:t xml:space="preserve">Disclaimer: The views and opinions expressed in this report </w:t>
      </w:r>
      <w:r w:rsidRPr="000F6596">
        <w:rPr>
          <w:rFonts w:ascii="Times New Roman" w:eastAsia="Times New Roman" w:hAnsi="Times New Roman"/>
          <w:color w:val="000000"/>
          <w:sz w:val="20"/>
          <w:szCs w:val="20"/>
        </w:rPr>
        <w:t xml:space="preserve"> </w:t>
      </w:r>
      <w:r w:rsidRPr="000F6596">
        <w:rPr>
          <w:rFonts w:ascii="Times New Roman" w:eastAsia="Times New Roman" w:hAnsi="Times New Roman"/>
          <w:color w:val="000000"/>
          <w:sz w:val="20"/>
          <w:szCs w:val="20"/>
          <w:lang w:val="en-US"/>
        </w:rPr>
        <w:t xml:space="preserve">are those of the author </w:t>
      </w:r>
      <w:r w:rsidRPr="000F6596">
        <w:rPr>
          <w:rFonts w:ascii="Times New Roman" w:eastAsia="Times New Roman" w:hAnsi="Times New Roman"/>
          <w:color w:val="000000"/>
          <w:sz w:val="20"/>
          <w:szCs w:val="20"/>
        </w:rPr>
        <w:t xml:space="preserve">and do not </w:t>
      </w:r>
      <w:r w:rsidRPr="000F6596">
        <w:rPr>
          <w:rFonts w:ascii="Times New Roman" w:eastAsia="Times New Roman" w:hAnsi="Times New Roman"/>
          <w:color w:val="000000"/>
          <w:sz w:val="20"/>
          <w:szCs w:val="20"/>
          <w:lang w:val="en-US"/>
        </w:rPr>
        <w:t>necessarily reflect</w:t>
      </w:r>
      <w:r w:rsidRPr="000F6596">
        <w:rPr>
          <w:rFonts w:ascii="Times New Roman" w:eastAsia="Times New Roman" w:hAnsi="Times New Roman"/>
          <w:color w:val="000000"/>
          <w:sz w:val="20"/>
          <w:szCs w:val="20"/>
        </w:rPr>
        <w:t xml:space="preserve">  </w:t>
      </w:r>
      <w:r w:rsidRPr="000F6596">
        <w:rPr>
          <w:rFonts w:ascii="Times New Roman" w:eastAsia="Times New Roman" w:hAnsi="Times New Roman"/>
          <w:color w:val="000000"/>
          <w:sz w:val="20"/>
          <w:szCs w:val="20"/>
          <w:lang w:val="en-US"/>
        </w:rPr>
        <w:t>the official policy or position of SAOG</w:t>
      </w:r>
      <w:r w:rsidRPr="000F6596">
        <w:rPr>
          <w:rFonts w:ascii="Times New Roman" w:eastAsia="Times New Roman" w:hAnsi="Times New Roman"/>
          <w:color w:val="000000"/>
          <w:sz w:val="20"/>
          <w:szCs w:val="20"/>
        </w:rPr>
        <w:t xml:space="preserve">, </w:t>
      </w:r>
      <w:r w:rsidRPr="000F6596">
        <w:rPr>
          <w:rFonts w:ascii="Times New Roman" w:eastAsia="Times New Roman" w:hAnsi="Times New Roman"/>
          <w:color w:val="000000"/>
          <w:sz w:val="20"/>
          <w:szCs w:val="20"/>
          <w:lang w:val="en-US"/>
        </w:rPr>
        <w:t>Council of Europe</w:t>
      </w:r>
      <w:r w:rsidRPr="000F6596">
        <w:rPr>
          <w:rFonts w:ascii="Times New Roman" w:eastAsia="Times New Roman" w:hAnsi="Times New Roman"/>
          <w:color w:val="000000"/>
          <w:sz w:val="20"/>
          <w:szCs w:val="20"/>
        </w:rPr>
        <w:t xml:space="preserve">, </w:t>
      </w:r>
      <w:r w:rsidRPr="000F6596">
        <w:rPr>
          <w:rFonts w:ascii="Times New Roman" w:eastAsia="Times New Roman" w:hAnsi="Times New Roman"/>
          <w:color w:val="000000"/>
          <w:sz w:val="20"/>
          <w:szCs w:val="20"/>
          <w:lang w:val="en-US"/>
        </w:rPr>
        <w:t>International IDEA</w:t>
      </w:r>
      <w:r w:rsidRPr="000F6596">
        <w:rPr>
          <w:rFonts w:ascii="Times New Roman" w:eastAsia="Times New Roman" w:hAnsi="Times New Roman"/>
          <w:color w:val="000000"/>
          <w:sz w:val="20"/>
          <w:szCs w:val="20"/>
        </w:rPr>
        <w:t>,</w:t>
      </w:r>
      <w:r w:rsidRPr="000F6596">
        <w:rPr>
          <w:rFonts w:ascii="Times New Roman" w:eastAsia="Times New Roman" w:hAnsi="Times New Roman"/>
          <w:color w:val="000000"/>
          <w:sz w:val="20"/>
          <w:szCs w:val="20"/>
          <w:lang w:val="en-US"/>
        </w:rPr>
        <w:t xml:space="preserve"> IFES</w:t>
      </w:r>
      <w:r w:rsidRPr="000F6596">
        <w:rPr>
          <w:rFonts w:ascii="Times New Roman" w:eastAsia="Times New Roman" w:hAnsi="Times New Roman"/>
          <w:color w:val="000000"/>
          <w:sz w:val="20"/>
          <w:szCs w:val="20"/>
        </w:rPr>
        <w:t xml:space="preserve">, NIMD,OSCE-ODIHR, TI </w:t>
      </w:r>
      <w:r w:rsidRPr="000F6596">
        <w:rPr>
          <w:rFonts w:ascii="Times New Roman" w:eastAsia="Times New Roman" w:hAnsi="Times New Roman"/>
          <w:color w:val="000000"/>
          <w:sz w:val="20"/>
          <w:szCs w:val="20"/>
          <w:lang w:val="en-US"/>
        </w:rPr>
        <w:t>Georgia</w:t>
      </w:r>
      <w:r w:rsidRPr="000F6596">
        <w:rPr>
          <w:rFonts w:ascii="Times New Roman" w:eastAsia="Times New Roman" w:hAnsi="Times New Roman"/>
          <w:color w:val="000000"/>
          <w:sz w:val="20"/>
          <w:szCs w:val="20"/>
        </w:rPr>
        <w:t>.</w:t>
      </w:r>
    </w:p>
    <w:p w:rsidR="005E538D" w:rsidRPr="000F6596" w:rsidRDefault="005E538D" w:rsidP="005E538D">
      <w:pPr>
        <w:pStyle w:val="FootnoteText"/>
        <w:rPr>
          <w:rFonts w:ascii="Times New Roman" w:hAnsi="Times New Roman"/>
        </w:rPr>
      </w:pPr>
    </w:p>
  </w:footnote>
  <w:footnote w:id="2">
    <w:p w:rsidR="005D3F10" w:rsidRPr="000F6596" w:rsidRDefault="005D3F10" w:rsidP="005D3F10">
      <w:pPr>
        <w:pStyle w:val="FootnoteText"/>
        <w:rPr>
          <w:rFonts w:ascii="Times New Roman" w:hAnsi="Times New Roman"/>
        </w:rPr>
      </w:pPr>
      <w:r w:rsidRPr="000F6596">
        <w:rPr>
          <w:rStyle w:val="FootnoteReference"/>
          <w:rFonts w:ascii="Times New Roman" w:hAnsi="Times New Roman"/>
        </w:rPr>
        <w:footnoteRef/>
      </w:r>
      <w:r w:rsidRPr="000F6596">
        <w:rPr>
          <w:rFonts w:ascii="Times New Roman" w:hAnsi="Times New Roman"/>
        </w:rPr>
        <w:t xml:space="preserve"> Then Conference on Security and Cooperation in Europe</w:t>
      </w:r>
    </w:p>
  </w:footnote>
  <w:footnote w:id="3">
    <w:p w:rsidR="00930A33" w:rsidRPr="00964CD7" w:rsidRDefault="00930A33" w:rsidP="00930A33">
      <w:pPr>
        <w:pStyle w:val="FootnoteText"/>
        <w:rPr>
          <w:rFonts w:ascii="Times New Roman" w:hAnsi="Times New Roman"/>
        </w:rPr>
      </w:pPr>
      <w:r w:rsidRPr="000F6596">
        <w:rPr>
          <w:rStyle w:val="FootnoteReference"/>
          <w:rFonts w:ascii="Times New Roman" w:hAnsi="Times New Roman"/>
        </w:rPr>
        <w:footnoteRef/>
      </w:r>
      <w:r w:rsidRPr="000F6596">
        <w:rPr>
          <w:rFonts w:ascii="Times New Roman" w:hAnsi="Times New Roman"/>
        </w:rPr>
        <w:t xml:space="preserve"> ODIHR, </w:t>
      </w:r>
      <w:hyperlink r:id="rId1" w:tooltip=" (OSCE)" w:history="1">
        <w:r w:rsidRPr="000F6596">
          <w:rPr>
            <w:rStyle w:val="Hyperlink"/>
            <w:rFonts w:ascii="Times New Roman" w:hAnsi="Times New Roman"/>
            <w:bCs/>
            <w:color w:val="000000"/>
            <w:u w:val="none"/>
            <w:bdr w:val="none" w:sz="0" w:space="0" w:color="auto" w:frame="1"/>
            <w:shd w:val="clear" w:color="auto" w:fill="FFFFFF"/>
          </w:rPr>
          <w:t>Azerbaijan, Parliamentary Elections, 1 November 2015: Needs Assessment Mission Report</w:t>
        </w:r>
      </w:hyperlink>
    </w:p>
  </w:footnote>
  <w:footnote w:id="4">
    <w:p w:rsidR="00FB4E9E" w:rsidRPr="000F6596" w:rsidRDefault="00FB4E9E" w:rsidP="00FB4E9E">
      <w:pPr>
        <w:pStyle w:val="FootnoteText"/>
        <w:rPr>
          <w:rFonts w:ascii="Times New Roman" w:hAnsi="Times New Roman"/>
        </w:rPr>
      </w:pPr>
      <w:r w:rsidRPr="000F6596">
        <w:rPr>
          <w:rStyle w:val="FootnoteReference"/>
          <w:rFonts w:ascii="Times New Roman" w:hAnsi="Times New Roman"/>
        </w:rPr>
        <w:footnoteRef/>
      </w:r>
      <w:r w:rsidRPr="000F6596">
        <w:rPr>
          <w:rFonts w:ascii="Times New Roman" w:hAnsi="Times New Roman"/>
        </w:rPr>
        <w:t xml:space="preserve"> OSCE/ODIHR, Republic of Azerbaijan, Parliamentary Elections, 7 November 2010, Election Observation Mission Final Report</w:t>
      </w:r>
    </w:p>
  </w:footnote>
  <w:footnote w:id="5">
    <w:p w:rsidR="00BF5AFA" w:rsidRPr="000F6596" w:rsidRDefault="00BF5AFA" w:rsidP="00BF5AFA">
      <w:pPr>
        <w:pStyle w:val="FootnoteText"/>
        <w:rPr>
          <w:rFonts w:ascii="Times New Roman" w:hAnsi="Times New Roman"/>
        </w:rPr>
      </w:pPr>
      <w:r w:rsidRPr="000F6596">
        <w:rPr>
          <w:rStyle w:val="FootnoteReference"/>
          <w:rFonts w:ascii="Times New Roman" w:hAnsi="Times New Roman"/>
        </w:rPr>
        <w:footnoteRef/>
      </w:r>
      <w:r w:rsidRPr="000F6596">
        <w:rPr>
          <w:rFonts w:ascii="Times New Roman" w:hAnsi="Times New Roman"/>
        </w:rPr>
        <w:t xml:space="preserve"> International Election Observation Mission, Republic of Azerbaijan, Presidential Election, 9 October 2013, Statement of Preliminary Findings and Conclusions</w:t>
      </w:r>
    </w:p>
  </w:footnote>
  <w:footnote w:id="6">
    <w:p w:rsidR="00BF5AFA" w:rsidRPr="000F6596" w:rsidRDefault="00BF5AFA" w:rsidP="00BF5AFA">
      <w:pPr>
        <w:pStyle w:val="FootnoteText"/>
        <w:rPr>
          <w:rFonts w:ascii="Times New Roman" w:hAnsi="Times New Roman"/>
        </w:rPr>
      </w:pPr>
      <w:r w:rsidRPr="000F6596">
        <w:rPr>
          <w:rStyle w:val="FootnoteReference"/>
          <w:rFonts w:ascii="Times New Roman" w:hAnsi="Times New Roman"/>
        </w:rPr>
        <w:footnoteRef/>
      </w:r>
      <w:r w:rsidRPr="000F6596">
        <w:rPr>
          <w:rFonts w:ascii="Times New Roman" w:hAnsi="Times New Roman"/>
        </w:rPr>
        <w:t xml:space="preserve"> Election Monitoring and Democrac</w:t>
      </w:r>
      <w:r w:rsidR="00BD6815" w:rsidRPr="000F6596">
        <w:rPr>
          <w:rFonts w:ascii="Times New Roman" w:hAnsi="Times New Roman"/>
        </w:rPr>
        <w:t>y studies center, Final reports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4C5" w:rsidRDefault="002874C5" w:rsidP="000F6596">
    <w:pPr>
      <w:pStyle w:val="Header"/>
    </w:pPr>
  </w:p>
  <w:p w:rsidR="002874C5" w:rsidRDefault="00287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5A49D04"/>
    <w:lvl w:ilvl="0">
      <w:numFmt w:val="bullet"/>
      <w:lvlText w:val="*"/>
      <w:lvlJc w:val="left"/>
    </w:lvl>
  </w:abstractNum>
  <w:abstractNum w:abstractNumId="1">
    <w:nsid w:val="01EA1EAE"/>
    <w:multiLevelType w:val="hybridMultilevel"/>
    <w:tmpl w:val="71FE7F9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32022EA"/>
    <w:multiLevelType w:val="hybridMultilevel"/>
    <w:tmpl w:val="5886713E"/>
    <w:lvl w:ilvl="0" w:tplc="25D237C2">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05C214AA"/>
    <w:multiLevelType w:val="hybridMultilevel"/>
    <w:tmpl w:val="BB8096D8"/>
    <w:lvl w:ilvl="0" w:tplc="1A662FEC">
      <w:start w:val="1"/>
      <w:numFmt w:val="upp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07EB7CC6"/>
    <w:multiLevelType w:val="hybridMultilevel"/>
    <w:tmpl w:val="0B10D474"/>
    <w:lvl w:ilvl="0" w:tplc="25D237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C4566"/>
    <w:multiLevelType w:val="hybridMultilevel"/>
    <w:tmpl w:val="19F8BE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661142"/>
    <w:multiLevelType w:val="hybridMultilevel"/>
    <w:tmpl w:val="9292712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244D4617"/>
    <w:multiLevelType w:val="hybridMultilevel"/>
    <w:tmpl w:val="2A0A4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F61D66"/>
    <w:multiLevelType w:val="hybridMultilevel"/>
    <w:tmpl w:val="1EE465B0"/>
    <w:lvl w:ilvl="0" w:tplc="25D237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E0B83"/>
    <w:multiLevelType w:val="hybridMultilevel"/>
    <w:tmpl w:val="8AD46758"/>
    <w:lvl w:ilvl="0" w:tplc="25D237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F040F"/>
    <w:multiLevelType w:val="hybridMultilevel"/>
    <w:tmpl w:val="AA48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71E36"/>
    <w:multiLevelType w:val="hybridMultilevel"/>
    <w:tmpl w:val="FD9E569E"/>
    <w:lvl w:ilvl="0" w:tplc="04190015">
      <w:start w:val="1"/>
      <w:numFmt w:val="upp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B1119E4"/>
    <w:multiLevelType w:val="hybridMultilevel"/>
    <w:tmpl w:val="D71CCDF4"/>
    <w:lvl w:ilvl="0" w:tplc="25D237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289202E"/>
    <w:multiLevelType w:val="hybridMultilevel"/>
    <w:tmpl w:val="5E2E69FE"/>
    <w:lvl w:ilvl="0" w:tplc="25D237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3C5E8F"/>
    <w:multiLevelType w:val="hybridMultilevel"/>
    <w:tmpl w:val="C3D42270"/>
    <w:lvl w:ilvl="0" w:tplc="25D237C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C880DED"/>
    <w:multiLevelType w:val="hybridMultilevel"/>
    <w:tmpl w:val="A224D03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27279F0"/>
    <w:multiLevelType w:val="hybridMultilevel"/>
    <w:tmpl w:val="58B477CE"/>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6FA15613"/>
    <w:multiLevelType w:val="hybridMultilevel"/>
    <w:tmpl w:val="99280D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7"/>
  </w:num>
  <w:num w:numId="3">
    <w:abstractNumId w:val="6"/>
  </w:num>
  <w:num w:numId="4">
    <w:abstractNumId w:val="8"/>
  </w:num>
  <w:num w:numId="5">
    <w:abstractNumId w:val="10"/>
  </w:num>
  <w:num w:numId="6">
    <w:abstractNumId w:val="14"/>
  </w:num>
  <w:num w:numId="7">
    <w:abstractNumId w:val="9"/>
  </w:num>
  <w:num w:numId="8">
    <w:abstractNumId w:val="12"/>
  </w:num>
  <w:num w:numId="9">
    <w:abstractNumId w:val="16"/>
  </w:num>
  <w:num w:numId="10">
    <w:abstractNumId w:val="3"/>
  </w:num>
  <w:num w:numId="11">
    <w:abstractNumId w:val="11"/>
  </w:num>
  <w:num w:numId="12">
    <w:abstractNumId w:val="15"/>
  </w:num>
  <w:num w:numId="13">
    <w:abstractNumId w:val="1"/>
  </w:num>
  <w:num w:numId="14">
    <w:abstractNumId w:val="5"/>
  </w:num>
  <w:num w:numId="15">
    <w:abstractNumId w:val="13"/>
  </w:num>
  <w:num w:numId="16">
    <w:abstractNumId w:val="2"/>
  </w:num>
  <w:num w:numId="17">
    <w:abstractNumId w:val="4"/>
  </w:num>
  <w:num w:numId="1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DF"/>
    <w:rsid w:val="00004CC3"/>
    <w:rsid w:val="000138A5"/>
    <w:rsid w:val="00016D2F"/>
    <w:rsid w:val="00021B7A"/>
    <w:rsid w:val="00041ABE"/>
    <w:rsid w:val="00056A5F"/>
    <w:rsid w:val="000663B0"/>
    <w:rsid w:val="00080145"/>
    <w:rsid w:val="00082393"/>
    <w:rsid w:val="00084372"/>
    <w:rsid w:val="000F627C"/>
    <w:rsid w:val="000F6596"/>
    <w:rsid w:val="001013C7"/>
    <w:rsid w:val="00116699"/>
    <w:rsid w:val="00134BD7"/>
    <w:rsid w:val="0013559B"/>
    <w:rsid w:val="00155D86"/>
    <w:rsid w:val="00157C3C"/>
    <w:rsid w:val="001629D0"/>
    <w:rsid w:val="00162CD8"/>
    <w:rsid w:val="00173341"/>
    <w:rsid w:val="00176C43"/>
    <w:rsid w:val="00195F2B"/>
    <w:rsid w:val="001B411A"/>
    <w:rsid w:val="001D37D8"/>
    <w:rsid w:val="001F3D26"/>
    <w:rsid w:val="00216549"/>
    <w:rsid w:val="0022150D"/>
    <w:rsid w:val="002874C5"/>
    <w:rsid w:val="002A217A"/>
    <w:rsid w:val="002A4E64"/>
    <w:rsid w:val="002B74DD"/>
    <w:rsid w:val="002C374F"/>
    <w:rsid w:val="002C7D73"/>
    <w:rsid w:val="002E1D35"/>
    <w:rsid w:val="002E7E77"/>
    <w:rsid w:val="002F22BE"/>
    <w:rsid w:val="00320BB5"/>
    <w:rsid w:val="003262C4"/>
    <w:rsid w:val="003312A6"/>
    <w:rsid w:val="00350B49"/>
    <w:rsid w:val="00363104"/>
    <w:rsid w:val="003841AC"/>
    <w:rsid w:val="003914C9"/>
    <w:rsid w:val="003C2F32"/>
    <w:rsid w:val="003F1551"/>
    <w:rsid w:val="00423FED"/>
    <w:rsid w:val="00451B0E"/>
    <w:rsid w:val="00471D6D"/>
    <w:rsid w:val="00484661"/>
    <w:rsid w:val="00486A35"/>
    <w:rsid w:val="004A7418"/>
    <w:rsid w:val="00506CA8"/>
    <w:rsid w:val="00507AD4"/>
    <w:rsid w:val="00515282"/>
    <w:rsid w:val="00534DE0"/>
    <w:rsid w:val="005474D9"/>
    <w:rsid w:val="005637E6"/>
    <w:rsid w:val="00574AD1"/>
    <w:rsid w:val="005907ED"/>
    <w:rsid w:val="0059509E"/>
    <w:rsid w:val="005A69E8"/>
    <w:rsid w:val="005B1B7B"/>
    <w:rsid w:val="005B6812"/>
    <w:rsid w:val="005C5434"/>
    <w:rsid w:val="005D3F10"/>
    <w:rsid w:val="005D79C9"/>
    <w:rsid w:val="005E538D"/>
    <w:rsid w:val="005E5DBE"/>
    <w:rsid w:val="005F6D3A"/>
    <w:rsid w:val="005F7148"/>
    <w:rsid w:val="0063078B"/>
    <w:rsid w:val="00691C05"/>
    <w:rsid w:val="00697F42"/>
    <w:rsid w:val="006C793E"/>
    <w:rsid w:val="007060BA"/>
    <w:rsid w:val="00711B45"/>
    <w:rsid w:val="00717D87"/>
    <w:rsid w:val="00725BFF"/>
    <w:rsid w:val="0073111F"/>
    <w:rsid w:val="00731B41"/>
    <w:rsid w:val="007362A5"/>
    <w:rsid w:val="007400BB"/>
    <w:rsid w:val="007746A1"/>
    <w:rsid w:val="00786222"/>
    <w:rsid w:val="00787662"/>
    <w:rsid w:val="0079188A"/>
    <w:rsid w:val="007A3656"/>
    <w:rsid w:val="007C0FDA"/>
    <w:rsid w:val="007C5CE9"/>
    <w:rsid w:val="007E0799"/>
    <w:rsid w:val="007F14E9"/>
    <w:rsid w:val="008000C8"/>
    <w:rsid w:val="008016E6"/>
    <w:rsid w:val="00804024"/>
    <w:rsid w:val="00816B12"/>
    <w:rsid w:val="00825502"/>
    <w:rsid w:val="00826D5A"/>
    <w:rsid w:val="0084573D"/>
    <w:rsid w:val="008716A3"/>
    <w:rsid w:val="0088347D"/>
    <w:rsid w:val="0088588C"/>
    <w:rsid w:val="008916B8"/>
    <w:rsid w:val="008B269E"/>
    <w:rsid w:val="008C6223"/>
    <w:rsid w:val="008C7C9A"/>
    <w:rsid w:val="008F1C07"/>
    <w:rsid w:val="008F2133"/>
    <w:rsid w:val="0091568F"/>
    <w:rsid w:val="00924CDA"/>
    <w:rsid w:val="00930A33"/>
    <w:rsid w:val="009546D5"/>
    <w:rsid w:val="0095737A"/>
    <w:rsid w:val="00963E0F"/>
    <w:rsid w:val="00964CD7"/>
    <w:rsid w:val="009826DA"/>
    <w:rsid w:val="00985DAD"/>
    <w:rsid w:val="0099322C"/>
    <w:rsid w:val="009B1412"/>
    <w:rsid w:val="009B2F3B"/>
    <w:rsid w:val="009B450F"/>
    <w:rsid w:val="009E0FF6"/>
    <w:rsid w:val="009E6516"/>
    <w:rsid w:val="009F511A"/>
    <w:rsid w:val="00A111E4"/>
    <w:rsid w:val="00A165E0"/>
    <w:rsid w:val="00A368D9"/>
    <w:rsid w:val="00A566FB"/>
    <w:rsid w:val="00A60FD1"/>
    <w:rsid w:val="00A63E4D"/>
    <w:rsid w:val="00A8499F"/>
    <w:rsid w:val="00AA1717"/>
    <w:rsid w:val="00AA1F00"/>
    <w:rsid w:val="00AA245F"/>
    <w:rsid w:val="00AB3822"/>
    <w:rsid w:val="00AE0CD4"/>
    <w:rsid w:val="00B00FBF"/>
    <w:rsid w:val="00B10BF7"/>
    <w:rsid w:val="00B16416"/>
    <w:rsid w:val="00B27FB7"/>
    <w:rsid w:val="00B41FA7"/>
    <w:rsid w:val="00B55E71"/>
    <w:rsid w:val="00B630F1"/>
    <w:rsid w:val="00B765A1"/>
    <w:rsid w:val="00B934DF"/>
    <w:rsid w:val="00BB1874"/>
    <w:rsid w:val="00BC5581"/>
    <w:rsid w:val="00BC6875"/>
    <w:rsid w:val="00BD6815"/>
    <w:rsid w:val="00BF1AF4"/>
    <w:rsid w:val="00BF36E6"/>
    <w:rsid w:val="00BF5AFA"/>
    <w:rsid w:val="00BF6804"/>
    <w:rsid w:val="00C000BC"/>
    <w:rsid w:val="00C00655"/>
    <w:rsid w:val="00C2190C"/>
    <w:rsid w:val="00C25001"/>
    <w:rsid w:val="00C32E1A"/>
    <w:rsid w:val="00C37874"/>
    <w:rsid w:val="00C4306C"/>
    <w:rsid w:val="00C43EDB"/>
    <w:rsid w:val="00C515C3"/>
    <w:rsid w:val="00C522E7"/>
    <w:rsid w:val="00C702BF"/>
    <w:rsid w:val="00C71CD5"/>
    <w:rsid w:val="00C828D6"/>
    <w:rsid w:val="00C84040"/>
    <w:rsid w:val="00CB4FD9"/>
    <w:rsid w:val="00CC6C38"/>
    <w:rsid w:val="00D101EF"/>
    <w:rsid w:val="00D2795D"/>
    <w:rsid w:val="00D31D11"/>
    <w:rsid w:val="00D35007"/>
    <w:rsid w:val="00D43FFB"/>
    <w:rsid w:val="00D47DDF"/>
    <w:rsid w:val="00D5361D"/>
    <w:rsid w:val="00D53E78"/>
    <w:rsid w:val="00D61A6F"/>
    <w:rsid w:val="00D90FDE"/>
    <w:rsid w:val="00D94F0C"/>
    <w:rsid w:val="00DF04BC"/>
    <w:rsid w:val="00DF32CC"/>
    <w:rsid w:val="00DF37FC"/>
    <w:rsid w:val="00E002A5"/>
    <w:rsid w:val="00E454E0"/>
    <w:rsid w:val="00E62266"/>
    <w:rsid w:val="00E667EB"/>
    <w:rsid w:val="00E730D9"/>
    <w:rsid w:val="00E73D1C"/>
    <w:rsid w:val="00E84EFC"/>
    <w:rsid w:val="00E91AB4"/>
    <w:rsid w:val="00EA208B"/>
    <w:rsid w:val="00EA3F60"/>
    <w:rsid w:val="00EA6736"/>
    <w:rsid w:val="00ED2559"/>
    <w:rsid w:val="00ED2F04"/>
    <w:rsid w:val="00F01DC4"/>
    <w:rsid w:val="00F23D0C"/>
    <w:rsid w:val="00F3299C"/>
    <w:rsid w:val="00F47944"/>
    <w:rsid w:val="00F67227"/>
    <w:rsid w:val="00F7754D"/>
    <w:rsid w:val="00F86171"/>
    <w:rsid w:val="00F867BB"/>
    <w:rsid w:val="00F965AF"/>
    <w:rsid w:val="00FA600A"/>
    <w:rsid w:val="00FB43BC"/>
    <w:rsid w:val="00FB4E9E"/>
    <w:rsid w:val="00FD333F"/>
    <w:rsid w:val="00FF7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2E7"/>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D47DDF"/>
    <w:pPr>
      <w:keepNext/>
      <w:keepLines/>
      <w:spacing w:before="480" w:after="0"/>
      <w:outlineLvl w:val="0"/>
    </w:pPr>
    <w:rPr>
      <w:rFonts w:ascii="Cambria" w:eastAsia="PMingLiU" w:hAnsi="Cambria"/>
      <w:b/>
      <w:bCs/>
      <w:color w:val="365F91"/>
      <w:sz w:val="28"/>
      <w:szCs w:val="28"/>
    </w:rPr>
  </w:style>
  <w:style w:type="paragraph" w:styleId="Heading2">
    <w:name w:val="heading 2"/>
    <w:basedOn w:val="Normal"/>
    <w:next w:val="Normal"/>
    <w:link w:val="Heading2Char"/>
    <w:uiPriority w:val="9"/>
    <w:unhideWhenUsed/>
    <w:qFormat/>
    <w:rsid w:val="00E73D1C"/>
    <w:pPr>
      <w:keepNext/>
      <w:keepLines/>
      <w:spacing w:before="240" w:after="120"/>
      <w:outlineLvl w:val="1"/>
    </w:pPr>
    <w:rPr>
      <w:rFonts w:ascii="Cambria" w:eastAsia="PMingLiU" w:hAnsi="Cambria"/>
      <w:b/>
      <w:bCs/>
      <w:color w:val="4F81B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DDF"/>
    <w:pPr>
      <w:ind w:left="720"/>
      <w:contextualSpacing/>
    </w:pPr>
  </w:style>
  <w:style w:type="character" w:customStyle="1" w:styleId="Heading1Char">
    <w:name w:val="Heading 1 Char"/>
    <w:link w:val="Heading1"/>
    <w:uiPriority w:val="9"/>
    <w:rsid w:val="00D47DDF"/>
    <w:rPr>
      <w:rFonts w:ascii="Cambria" w:eastAsia="PMingLiU" w:hAnsi="Cambria" w:cs="Times New Roman"/>
      <w:b/>
      <w:bCs/>
      <w:color w:val="365F91"/>
      <w:sz w:val="28"/>
      <w:szCs w:val="28"/>
    </w:rPr>
  </w:style>
  <w:style w:type="character" w:customStyle="1" w:styleId="Heading2Char">
    <w:name w:val="Heading 2 Char"/>
    <w:link w:val="Heading2"/>
    <w:uiPriority w:val="9"/>
    <w:rsid w:val="00E73D1C"/>
    <w:rPr>
      <w:rFonts w:ascii="Cambria" w:eastAsia="PMingLiU" w:hAnsi="Cambria" w:cs="Times New Roman"/>
      <w:b/>
      <w:bCs/>
      <w:color w:val="4F81BD"/>
      <w:sz w:val="24"/>
      <w:szCs w:val="26"/>
    </w:rPr>
  </w:style>
  <w:style w:type="paragraph" w:styleId="TOCHeading">
    <w:name w:val="TOC Heading"/>
    <w:basedOn w:val="Heading1"/>
    <w:next w:val="Normal"/>
    <w:uiPriority w:val="39"/>
    <w:semiHidden/>
    <w:unhideWhenUsed/>
    <w:qFormat/>
    <w:rsid w:val="00176C43"/>
    <w:pPr>
      <w:outlineLvl w:val="9"/>
    </w:pPr>
    <w:rPr>
      <w:lang w:val="en-US" w:eastAsia="ja-JP"/>
    </w:rPr>
  </w:style>
  <w:style w:type="paragraph" w:styleId="TOC1">
    <w:name w:val="toc 1"/>
    <w:basedOn w:val="Normal"/>
    <w:next w:val="Normal"/>
    <w:autoRedefine/>
    <w:uiPriority w:val="39"/>
    <w:unhideWhenUsed/>
    <w:rsid w:val="00176C43"/>
    <w:pPr>
      <w:spacing w:before="120" w:after="120"/>
    </w:pPr>
    <w:rPr>
      <w:b/>
      <w:bCs/>
      <w:caps/>
      <w:sz w:val="20"/>
      <w:szCs w:val="20"/>
    </w:rPr>
  </w:style>
  <w:style w:type="paragraph" w:styleId="TOC2">
    <w:name w:val="toc 2"/>
    <w:basedOn w:val="Normal"/>
    <w:next w:val="Normal"/>
    <w:autoRedefine/>
    <w:uiPriority w:val="39"/>
    <w:unhideWhenUsed/>
    <w:rsid w:val="00176C43"/>
    <w:pPr>
      <w:spacing w:after="0"/>
      <w:ind w:left="220"/>
    </w:pPr>
    <w:rPr>
      <w:smallCaps/>
      <w:sz w:val="20"/>
      <w:szCs w:val="20"/>
    </w:rPr>
  </w:style>
  <w:style w:type="character" w:styleId="Hyperlink">
    <w:name w:val="Hyperlink"/>
    <w:uiPriority w:val="99"/>
    <w:unhideWhenUsed/>
    <w:rsid w:val="00176C43"/>
    <w:rPr>
      <w:color w:val="0000FF"/>
      <w:u w:val="single"/>
    </w:rPr>
  </w:style>
  <w:style w:type="paragraph" w:styleId="BalloonText">
    <w:name w:val="Balloon Text"/>
    <w:basedOn w:val="Normal"/>
    <w:link w:val="BalloonTextChar"/>
    <w:uiPriority w:val="99"/>
    <w:semiHidden/>
    <w:unhideWhenUsed/>
    <w:rsid w:val="00176C4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76C43"/>
    <w:rPr>
      <w:rFonts w:ascii="Tahoma" w:hAnsi="Tahoma" w:cs="Tahoma"/>
      <w:sz w:val="16"/>
      <w:szCs w:val="16"/>
    </w:rPr>
  </w:style>
  <w:style w:type="paragraph" w:styleId="TOC3">
    <w:name w:val="toc 3"/>
    <w:basedOn w:val="Normal"/>
    <w:next w:val="Normal"/>
    <w:autoRedefine/>
    <w:uiPriority w:val="39"/>
    <w:unhideWhenUsed/>
    <w:rsid w:val="00176C43"/>
    <w:pPr>
      <w:spacing w:after="0"/>
      <w:ind w:left="440"/>
    </w:pPr>
    <w:rPr>
      <w:i/>
      <w:iCs/>
      <w:sz w:val="20"/>
      <w:szCs w:val="20"/>
    </w:rPr>
  </w:style>
  <w:style w:type="paragraph" w:styleId="TOC4">
    <w:name w:val="toc 4"/>
    <w:basedOn w:val="Normal"/>
    <w:next w:val="Normal"/>
    <w:autoRedefine/>
    <w:uiPriority w:val="39"/>
    <w:unhideWhenUsed/>
    <w:rsid w:val="00176C43"/>
    <w:pPr>
      <w:spacing w:after="0"/>
      <w:ind w:left="660"/>
    </w:pPr>
    <w:rPr>
      <w:sz w:val="18"/>
      <w:szCs w:val="18"/>
    </w:rPr>
  </w:style>
  <w:style w:type="paragraph" w:styleId="TOC5">
    <w:name w:val="toc 5"/>
    <w:basedOn w:val="Normal"/>
    <w:next w:val="Normal"/>
    <w:autoRedefine/>
    <w:uiPriority w:val="39"/>
    <w:unhideWhenUsed/>
    <w:rsid w:val="00176C43"/>
    <w:pPr>
      <w:spacing w:after="0"/>
      <w:ind w:left="880"/>
    </w:pPr>
    <w:rPr>
      <w:sz w:val="18"/>
      <w:szCs w:val="18"/>
    </w:rPr>
  </w:style>
  <w:style w:type="paragraph" w:styleId="TOC6">
    <w:name w:val="toc 6"/>
    <w:basedOn w:val="Normal"/>
    <w:next w:val="Normal"/>
    <w:autoRedefine/>
    <w:uiPriority w:val="39"/>
    <w:unhideWhenUsed/>
    <w:rsid w:val="00176C43"/>
    <w:pPr>
      <w:spacing w:after="0"/>
      <w:ind w:left="1100"/>
    </w:pPr>
    <w:rPr>
      <w:sz w:val="18"/>
      <w:szCs w:val="18"/>
    </w:rPr>
  </w:style>
  <w:style w:type="paragraph" w:styleId="TOC7">
    <w:name w:val="toc 7"/>
    <w:basedOn w:val="Normal"/>
    <w:next w:val="Normal"/>
    <w:autoRedefine/>
    <w:uiPriority w:val="39"/>
    <w:unhideWhenUsed/>
    <w:rsid w:val="00176C43"/>
    <w:pPr>
      <w:spacing w:after="0"/>
      <w:ind w:left="1320"/>
    </w:pPr>
    <w:rPr>
      <w:sz w:val="18"/>
      <w:szCs w:val="18"/>
    </w:rPr>
  </w:style>
  <w:style w:type="paragraph" w:styleId="TOC8">
    <w:name w:val="toc 8"/>
    <w:basedOn w:val="Normal"/>
    <w:next w:val="Normal"/>
    <w:autoRedefine/>
    <w:uiPriority w:val="39"/>
    <w:unhideWhenUsed/>
    <w:rsid w:val="00176C43"/>
    <w:pPr>
      <w:spacing w:after="0"/>
      <w:ind w:left="1540"/>
    </w:pPr>
    <w:rPr>
      <w:sz w:val="18"/>
      <w:szCs w:val="18"/>
    </w:rPr>
  </w:style>
  <w:style w:type="paragraph" w:styleId="TOC9">
    <w:name w:val="toc 9"/>
    <w:basedOn w:val="Normal"/>
    <w:next w:val="Normal"/>
    <w:autoRedefine/>
    <w:uiPriority w:val="39"/>
    <w:unhideWhenUsed/>
    <w:rsid w:val="00176C43"/>
    <w:pPr>
      <w:spacing w:after="0"/>
      <w:ind w:left="1760"/>
    </w:pPr>
    <w:rPr>
      <w:sz w:val="18"/>
      <w:szCs w:val="18"/>
    </w:rPr>
  </w:style>
  <w:style w:type="table" w:styleId="TableGrid">
    <w:name w:val="Table Grid"/>
    <w:basedOn w:val="TableNormal"/>
    <w:uiPriority w:val="59"/>
    <w:rsid w:val="00D43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2F3B"/>
    <w:pPr>
      <w:tabs>
        <w:tab w:val="center" w:pos="4513"/>
        <w:tab w:val="right" w:pos="9026"/>
      </w:tabs>
    </w:pPr>
  </w:style>
  <w:style w:type="character" w:customStyle="1" w:styleId="HeaderChar">
    <w:name w:val="Header Char"/>
    <w:basedOn w:val="DefaultParagraphFont"/>
    <w:link w:val="Header"/>
    <w:uiPriority w:val="99"/>
    <w:rsid w:val="009B2F3B"/>
    <w:rPr>
      <w:sz w:val="22"/>
      <w:szCs w:val="22"/>
      <w:lang w:val="en-GB" w:eastAsia="en-US"/>
    </w:rPr>
  </w:style>
  <w:style w:type="paragraph" w:styleId="Footer">
    <w:name w:val="footer"/>
    <w:basedOn w:val="Normal"/>
    <w:link w:val="FooterChar"/>
    <w:uiPriority w:val="99"/>
    <w:unhideWhenUsed/>
    <w:rsid w:val="009B2F3B"/>
    <w:pPr>
      <w:tabs>
        <w:tab w:val="center" w:pos="4513"/>
        <w:tab w:val="right" w:pos="9026"/>
      </w:tabs>
    </w:pPr>
  </w:style>
  <w:style w:type="character" w:customStyle="1" w:styleId="FooterChar">
    <w:name w:val="Footer Char"/>
    <w:basedOn w:val="DefaultParagraphFont"/>
    <w:link w:val="Footer"/>
    <w:uiPriority w:val="99"/>
    <w:rsid w:val="009B2F3B"/>
    <w:rPr>
      <w:sz w:val="22"/>
      <w:szCs w:val="22"/>
      <w:lang w:val="en-GB" w:eastAsia="en-US"/>
    </w:rPr>
  </w:style>
  <w:style w:type="character" w:styleId="CommentReference">
    <w:name w:val="annotation reference"/>
    <w:basedOn w:val="DefaultParagraphFont"/>
    <w:uiPriority w:val="99"/>
    <w:semiHidden/>
    <w:unhideWhenUsed/>
    <w:rsid w:val="005907ED"/>
    <w:rPr>
      <w:sz w:val="16"/>
      <w:szCs w:val="16"/>
    </w:rPr>
  </w:style>
  <w:style w:type="paragraph" w:styleId="CommentText">
    <w:name w:val="annotation text"/>
    <w:basedOn w:val="Normal"/>
    <w:link w:val="CommentTextChar"/>
    <w:uiPriority w:val="99"/>
    <w:semiHidden/>
    <w:unhideWhenUsed/>
    <w:rsid w:val="005907ED"/>
    <w:rPr>
      <w:sz w:val="20"/>
      <w:szCs w:val="20"/>
    </w:rPr>
  </w:style>
  <w:style w:type="character" w:customStyle="1" w:styleId="CommentTextChar">
    <w:name w:val="Comment Text Char"/>
    <w:basedOn w:val="DefaultParagraphFont"/>
    <w:link w:val="CommentText"/>
    <w:uiPriority w:val="99"/>
    <w:semiHidden/>
    <w:rsid w:val="005907ED"/>
    <w:rPr>
      <w:lang w:val="en-GB" w:eastAsia="en-US"/>
    </w:rPr>
  </w:style>
  <w:style w:type="paragraph" w:styleId="CommentSubject">
    <w:name w:val="annotation subject"/>
    <w:basedOn w:val="CommentText"/>
    <w:next w:val="CommentText"/>
    <w:link w:val="CommentSubjectChar"/>
    <w:uiPriority w:val="99"/>
    <w:semiHidden/>
    <w:unhideWhenUsed/>
    <w:rsid w:val="005907ED"/>
    <w:rPr>
      <w:b/>
      <w:bCs/>
    </w:rPr>
  </w:style>
  <w:style w:type="character" w:customStyle="1" w:styleId="CommentSubjectChar">
    <w:name w:val="Comment Subject Char"/>
    <w:basedOn w:val="CommentTextChar"/>
    <w:link w:val="CommentSubject"/>
    <w:uiPriority w:val="99"/>
    <w:semiHidden/>
    <w:rsid w:val="005907ED"/>
    <w:rPr>
      <w:b/>
      <w:bCs/>
      <w:lang w:val="en-GB" w:eastAsia="en-US"/>
    </w:rPr>
  </w:style>
  <w:style w:type="character" w:customStyle="1" w:styleId="apple-converted-space">
    <w:name w:val="apple-converted-space"/>
    <w:basedOn w:val="DefaultParagraphFont"/>
    <w:rsid w:val="00E62266"/>
  </w:style>
  <w:style w:type="paragraph" w:styleId="FootnoteText">
    <w:name w:val="footnote text"/>
    <w:basedOn w:val="Normal"/>
    <w:link w:val="FootnoteTextChar"/>
    <w:uiPriority w:val="99"/>
    <w:semiHidden/>
    <w:unhideWhenUsed/>
    <w:rsid w:val="005D3F10"/>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5D3F10"/>
    <w:rPr>
      <w:rFonts w:ascii="Calibri" w:eastAsia="Calibri" w:hAnsi="Calibri" w:cs="Times New Roman"/>
    </w:rPr>
  </w:style>
  <w:style w:type="character" w:styleId="FootnoteReference">
    <w:name w:val="footnote reference"/>
    <w:basedOn w:val="DefaultParagraphFont"/>
    <w:uiPriority w:val="99"/>
    <w:semiHidden/>
    <w:unhideWhenUsed/>
    <w:rsid w:val="005D3F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2E7"/>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D47DDF"/>
    <w:pPr>
      <w:keepNext/>
      <w:keepLines/>
      <w:spacing w:before="480" w:after="0"/>
      <w:outlineLvl w:val="0"/>
    </w:pPr>
    <w:rPr>
      <w:rFonts w:ascii="Cambria" w:eastAsia="PMingLiU" w:hAnsi="Cambria"/>
      <w:b/>
      <w:bCs/>
      <w:color w:val="365F91"/>
      <w:sz w:val="28"/>
      <w:szCs w:val="28"/>
    </w:rPr>
  </w:style>
  <w:style w:type="paragraph" w:styleId="Heading2">
    <w:name w:val="heading 2"/>
    <w:basedOn w:val="Normal"/>
    <w:next w:val="Normal"/>
    <w:link w:val="Heading2Char"/>
    <w:uiPriority w:val="9"/>
    <w:unhideWhenUsed/>
    <w:qFormat/>
    <w:rsid w:val="00E73D1C"/>
    <w:pPr>
      <w:keepNext/>
      <w:keepLines/>
      <w:spacing w:before="240" w:after="120"/>
      <w:outlineLvl w:val="1"/>
    </w:pPr>
    <w:rPr>
      <w:rFonts w:ascii="Cambria" w:eastAsia="PMingLiU" w:hAnsi="Cambria"/>
      <w:b/>
      <w:bCs/>
      <w:color w:val="4F81B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DDF"/>
    <w:pPr>
      <w:ind w:left="720"/>
      <w:contextualSpacing/>
    </w:pPr>
  </w:style>
  <w:style w:type="character" w:customStyle="1" w:styleId="Heading1Char">
    <w:name w:val="Heading 1 Char"/>
    <w:link w:val="Heading1"/>
    <w:uiPriority w:val="9"/>
    <w:rsid w:val="00D47DDF"/>
    <w:rPr>
      <w:rFonts w:ascii="Cambria" w:eastAsia="PMingLiU" w:hAnsi="Cambria" w:cs="Times New Roman"/>
      <w:b/>
      <w:bCs/>
      <w:color w:val="365F91"/>
      <w:sz w:val="28"/>
      <w:szCs w:val="28"/>
    </w:rPr>
  </w:style>
  <w:style w:type="character" w:customStyle="1" w:styleId="Heading2Char">
    <w:name w:val="Heading 2 Char"/>
    <w:link w:val="Heading2"/>
    <w:uiPriority w:val="9"/>
    <w:rsid w:val="00E73D1C"/>
    <w:rPr>
      <w:rFonts w:ascii="Cambria" w:eastAsia="PMingLiU" w:hAnsi="Cambria" w:cs="Times New Roman"/>
      <w:b/>
      <w:bCs/>
      <w:color w:val="4F81BD"/>
      <w:sz w:val="24"/>
      <w:szCs w:val="26"/>
    </w:rPr>
  </w:style>
  <w:style w:type="paragraph" w:styleId="TOCHeading">
    <w:name w:val="TOC Heading"/>
    <w:basedOn w:val="Heading1"/>
    <w:next w:val="Normal"/>
    <w:uiPriority w:val="39"/>
    <w:semiHidden/>
    <w:unhideWhenUsed/>
    <w:qFormat/>
    <w:rsid w:val="00176C43"/>
    <w:pPr>
      <w:outlineLvl w:val="9"/>
    </w:pPr>
    <w:rPr>
      <w:lang w:val="en-US" w:eastAsia="ja-JP"/>
    </w:rPr>
  </w:style>
  <w:style w:type="paragraph" w:styleId="TOC1">
    <w:name w:val="toc 1"/>
    <w:basedOn w:val="Normal"/>
    <w:next w:val="Normal"/>
    <w:autoRedefine/>
    <w:uiPriority w:val="39"/>
    <w:unhideWhenUsed/>
    <w:rsid w:val="00176C43"/>
    <w:pPr>
      <w:spacing w:before="120" w:after="120"/>
    </w:pPr>
    <w:rPr>
      <w:b/>
      <w:bCs/>
      <w:caps/>
      <w:sz w:val="20"/>
      <w:szCs w:val="20"/>
    </w:rPr>
  </w:style>
  <w:style w:type="paragraph" w:styleId="TOC2">
    <w:name w:val="toc 2"/>
    <w:basedOn w:val="Normal"/>
    <w:next w:val="Normal"/>
    <w:autoRedefine/>
    <w:uiPriority w:val="39"/>
    <w:unhideWhenUsed/>
    <w:rsid w:val="00176C43"/>
    <w:pPr>
      <w:spacing w:after="0"/>
      <w:ind w:left="220"/>
    </w:pPr>
    <w:rPr>
      <w:smallCaps/>
      <w:sz w:val="20"/>
      <w:szCs w:val="20"/>
    </w:rPr>
  </w:style>
  <w:style w:type="character" w:styleId="Hyperlink">
    <w:name w:val="Hyperlink"/>
    <w:uiPriority w:val="99"/>
    <w:unhideWhenUsed/>
    <w:rsid w:val="00176C43"/>
    <w:rPr>
      <w:color w:val="0000FF"/>
      <w:u w:val="single"/>
    </w:rPr>
  </w:style>
  <w:style w:type="paragraph" w:styleId="BalloonText">
    <w:name w:val="Balloon Text"/>
    <w:basedOn w:val="Normal"/>
    <w:link w:val="BalloonTextChar"/>
    <w:uiPriority w:val="99"/>
    <w:semiHidden/>
    <w:unhideWhenUsed/>
    <w:rsid w:val="00176C4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76C43"/>
    <w:rPr>
      <w:rFonts w:ascii="Tahoma" w:hAnsi="Tahoma" w:cs="Tahoma"/>
      <w:sz w:val="16"/>
      <w:szCs w:val="16"/>
    </w:rPr>
  </w:style>
  <w:style w:type="paragraph" w:styleId="TOC3">
    <w:name w:val="toc 3"/>
    <w:basedOn w:val="Normal"/>
    <w:next w:val="Normal"/>
    <w:autoRedefine/>
    <w:uiPriority w:val="39"/>
    <w:unhideWhenUsed/>
    <w:rsid w:val="00176C43"/>
    <w:pPr>
      <w:spacing w:after="0"/>
      <w:ind w:left="440"/>
    </w:pPr>
    <w:rPr>
      <w:i/>
      <w:iCs/>
      <w:sz w:val="20"/>
      <w:szCs w:val="20"/>
    </w:rPr>
  </w:style>
  <w:style w:type="paragraph" w:styleId="TOC4">
    <w:name w:val="toc 4"/>
    <w:basedOn w:val="Normal"/>
    <w:next w:val="Normal"/>
    <w:autoRedefine/>
    <w:uiPriority w:val="39"/>
    <w:unhideWhenUsed/>
    <w:rsid w:val="00176C43"/>
    <w:pPr>
      <w:spacing w:after="0"/>
      <w:ind w:left="660"/>
    </w:pPr>
    <w:rPr>
      <w:sz w:val="18"/>
      <w:szCs w:val="18"/>
    </w:rPr>
  </w:style>
  <w:style w:type="paragraph" w:styleId="TOC5">
    <w:name w:val="toc 5"/>
    <w:basedOn w:val="Normal"/>
    <w:next w:val="Normal"/>
    <w:autoRedefine/>
    <w:uiPriority w:val="39"/>
    <w:unhideWhenUsed/>
    <w:rsid w:val="00176C43"/>
    <w:pPr>
      <w:spacing w:after="0"/>
      <w:ind w:left="880"/>
    </w:pPr>
    <w:rPr>
      <w:sz w:val="18"/>
      <w:szCs w:val="18"/>
    </w:rPr>
  </w:style>
  <w:style w:type="paragraph" w:styleId="TOC6">
    <w:name w:val="toc 6"/>
    <w:basedOn w:val="Normal"/>
    <w:next w:val="Normal"/>
    <w:autoRedefine/>
    <w:uiPriority w:val="39"/>
    <w:unhideWhenUsed/>
    <w:rsid w:val="00176C43"/>
    <w:pPr>
      <w:spacing w:after="0"/>
      <w:ind w:left="1100"/>
    </w:pPr>
    <w:rPr>
      <w:sz w:val="18"/>
      <w:szCs w:val="18"/>
    </w:rPr>
  </w:style>
  <w:style w:type="paragraph" w:styleId="TOC7">
    <w:name w:val="toc 7"/>
    <w:basedOn w:val="Normal"/>
    <w:next w:val="Normal"/>
    <w:autoRedefine/>
    <w:uiPriority w:val="39"/>
    <w:unhideWhenUsed/>
    <w:rsid w:val="00176C43"/>
    <w:pPr>
      <w:spacing w:after="0"/>
      <w:ind w:left="1320"/>
    </w:pPr>
    <w:rPr>
      <w:sz w:val="18"/>
      <w:szCs w:val="18"/>
    </w:rPr>
  </w:style>
  <w:style w:type="paragraph" w:styleId="TOC8">
    <w:name w:val="toc 8"/>
    <w:basedOn w:val="Normal"/>
    <w:next w:val="Normal"/>
    <w:autoRedefine/>
    <w:uiPriority w:val="39"/>
    <w:unhideWhenUsed/>
    <w:rsid w:val="00176C43"/>
    <w:pPr>
      <w:spacing w:after="0"/>
      <w:ind w:left="1540"/>
    </w:pPr>
    <w:rPr>
      <w:sz w:val="18"/>
      <w:szCs w:val="18"/>
    </w:rPr>
  </w:style>
  <w:style w:type="paragraph" w:styleId="TOC9">
    <w:name w:val="toc 9"/>
    <w:basedOn w:val="Normal"/>
    <w:next w:val="Normal"/>
    <w:autoRedefine/>
    <w:uiPriority w:val="39"/>
    <w:unhideWhenUsed/>
    <w:rsid w:val="00176C43"/>
    <w:pPr>
      <w:spacing w:after="0"/>
      <w:ind w:left="1760"/>
    </w:pPr>
    <w:rPr>
      <w:sz w:val="18"/>
      <w:szCs w:val="18"/>
    </w:rPr>
  </w:style>
  <w:style w:type="table" w:styleId="TableGrid">
    <w:name w:val="Table Grid"/>
    <w:basedOn w:val="TableNormal"/>
    <w:uiPriority w:val="59"/>
    <w:rsid w:val="00D43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2F3B"/>
    <w:pPr>
      <w:tabs>
        <w:tab w:val="center" w:pos="4513"/>
        <w:tab w:val="right" w:pos="9026"/>
      </w:tabs>
    </w:pPr>
  </w:style>
  <w:style w:type="character" w:customStyle="1" w:styleId="HeaderChar">
    <w:name w:val="Header Char"/>
    <w:basedOn w:val="DefaultParagraphFont"/>
    <w:link w:val="Header"/>
    <w:uiPriority w:val="99"/>
    <w:rsid w:val="009B2F3B"/>
    <w:rPr>
      <w:sz w:val="22"/>
      <w:szCs w:val="22"/>
      <w:lang w:val="en-GB" w:eastAsia="en-US"/>
    </w:rPr>
  </w:style>
  <w:style w:type="paragraph" w:styleId="Footer">
    <w:name w:val="footer"/>
    <w:basedOn w:val="Normal"/>
    <w:link w:val="FooterChar"/>
    <w:uiPriority w:val="99"/>
    <w:unhideWhenUsed/>
    <w:rsid w:val="009B2F3B"/>
    <w:pPr>
      <w:tabs>
        <w:tab w:val="center" w:pos="4513"/>
        <w:tab w:val="right" w:pos="9026"/>
      </w:tabs>
    </w:pPr>
  </w:style>
  <w:style w:type="character" w:customStyle="1" w:styleId="FooterChar">
    <w:name w:val="Footer Char"/>
    <w:basedOn w:val="DefaultParagraphFont"/>
    <w:link w:val="Footer"/>
    <w:uiPriority w:val="99"/>
    <w:rsid w:val="009B2F3B"/>
    <w:rPr>
      <w:sz w:val="22"/>
      <w:szCs w:val="22"/>
      <w:lang w:val="en-GB" w:eastAsia="en-US"/>
    </w:rPr>
  </w:style>
  <w:style w:type="character" w:styleId="CommentReference">
    <w:name w:val="annotation reference"/>
    <w:basedOn w:val="DefaultParagraphFont"/>
    <w:uiPriority w:val="99"/>
    <w:semiHidden/>
    <w:unhideWhenUsed/>
    <w:rsid w:val="005907ED"/>
    <w:rPr>
      <w:sz w:val="16"/>
      <w:szCs w:val="16"/>
    </w:rPr>
  </w:style>
  <w:style w:type="paragraph" w:styleId="CommentText">
    <w:name w:val="annotation text"/>
    <w:basedOn w:val="Normal"/>
    <w:link w:val="CommentTextChar"/>
    <w:uiPriority w:val="99"/>
    <w:semiHidden/>
    <w:unhideWhenUsed/>
    <w:rsid w:val="005907ED"/>
    <w:rPr>
      <w:sz w:val="20"/>
      <w:szCs w:val="20"/>
    </w:rPr>
  </w:style>
  <w:style w:type="character" w:customStyle="1" w:styleId="CommentTextChar">
    <w:name w:val="Comment Text Char"/>
    <w:basedOn w:val="DefaultParagraphFont"/>
    <w:link w:val="CommentText"/>
    <w:uiPriority w:val="99"/>
    <w:semiHidden/>
    <w:rsid w:val="005907ED"/>
    <w:rPr>
      <w:lang w:val="en-GB" w:eastAsia="en-US"/>
    </w:rPr>
  </w:style>
  <w:style w:type="paragraph" w:styleId="CommentSubject">
    <w:name w:val="annotation subject"/>
    <w:basedOn w:val="CommentText"/>
    <w:next w:val="CommentText"/>
    <w:link w:val="CommentSubjectChar"/>
    <w:uiPriority w:val="99"/>
    <w:semiHidden/>
    <w:unhideWhenUsed/>
    <w:rsid w:val="005907ED"/>
    <w:rPr>
      <w:b/>
      <w:bCs/>
    </w:rPr>
  </w:style>
  <w:style w:type="character" w:customStyle="1" w:styleId="CommentSubjectChar">
    <w:name w:val="Comment Subject Char"/>
    <w:basedOn w:val="CommentTextChar"/>
    <w:link w:val="CommentSubject"/>
    <w:uiPriority w:val="99"/>
    <w:semiHidden/>
    <w:rsid w:val="005907ED"/>
    <w:rPr>
      <w:b/>
      <w:bCs/>
      <w:lang w:val="en-GB" w:eastAsia="en-US"/>
    </w:rPr>
  </w:style>
  <w:style w:type="character" w:customStyle="1" w:styleId="apple-converted-space">
    <w:name w:val="apple-converted-space"/>
    <w:basedOn w:val="DefaultParagraphFont"/>
    <w:rsid w:val="00E62266"/>
  </w:style>
  <w:style w:type="paragraph" w:styleId="FootnoteText">
    <w:name w:val="footnote text"/>
    <w:basedOn w:val="Normal"/>
    <w:link w:val="FootnoteTextChar"/>
    <w:uiPriority w:val="99"/>
    <w:semiHidden/>
    <w:unhideWhenUsed/>
    <w:rsid w:val="005D3F10"/>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5D3F10"/>
    <w:rPr>
      <w:rFonts w:ascii="Calibri" w:eastAsia="Calibri" w:hAnsi="Calibri" w:cs="Times New Roman"/>
    </w:rPr>
  </w:style>
  <w:style w:type="character" w:styleId="FootnoteReference">
    <w:name w:val="footnote reference"/>
    <w:basedOn w:val="DefaultParagraphFont"/>
    <w:uiPriority w:val="99"/>
    <w:semiHidden/>
    <w:unhideWhenUsed/>
    <w:rsid w:val="005D3F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sce.org/odihr/elections/azerbaijan/1792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25277-9CDB-45EA-96CF-2BC3E13F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13</Pages>
  <Words>4346</Words>
  <Characters>24777</Characters>
  <Application>Microsoft Office Word</Application>
  <DocSecurity>0</DocSecurity>
  <Lines>206</Lines>
  <Paragraphs>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OSF</Company>
  <LinksUpToDate>false</LinksUpToDate>
  <CharactersWithSpaces>29065</CharactersWithSpaces>
  <SharedDoc>false</SharedDoc>
  <HLinks>
    <vt:vector size="6" baseType="variant">
      <vt:variant>
        <vt:i4>262166</vt:i4>
      </vt:variant>
      <vt:variant>
        <vt:i4>0</vt:i4>
      </vt:variant>
      <vt:variant>
        <vt:i4>0</vt:i4>
      </vt:variant>
      <vt:variant>
        <vt:i4>5</vt:i4>
      </vt:variant>
      <vt:variant>
        <vt:lpwstr>http://www.osce.org/odihr/elections/azerbaijan/179216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Alisher Ilkhamov</dc:creator>
  <cp:lastModifiedBy>KECHAQMADZE Mikheil</cp:lastModifiedBy>
  <cp:revision>15</cp:revision>
  <dcterms:created xsi:type="dcterms:W3CDTF">2017-07-06T09:02:00Z</dcterms:created>
  <dcterms:modified xsi:type="dcterms:W3CDTF">2017-07-12T13:58:00Z</dcterms:modified>
</cp:coreProperties>
</file>